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944DA" w14:textId="77777777" w:rsidR="00EC7122" w:rsidRPr="0025714A" w:rsidRDefault="00EC7122" w:rsidP="0026044C">
      <w:pPr>
        <w:jc w:val="both"/>
      </w:pPr>
    </w:p>
    <w:sdt>
      <w:sdtPr>
        <w:rPr>
          <w:rFonts w:asciiTheme="majorHAnsi" w:eastAsiaTheme="majorEastAsia" w:hAnsiTheme="majorHAnsi" w:cstheme="majorBidi"/>
          <w:lang w:val="en-AU"/>
        </w:rPr>
        <w:id w:val="-1102578413"/>
        <w:docPartObj>
          <w:docPartGallery w:val="Cover Pages"/>
          <w:docPartUnique/>
        </w:docPartObj>
      </w:sdtPr>
      <w:sdtEndPr>
        <w:rPr>
          <w:rFonts w:ascii="Arial" w:eastAsiaTheme="minorHAnsi" w:hAnsi="Arial" w:cstheme="minorBidi"/>
        </w:rPr>
      </w:sdtEndPr>
      <w:sdtContent>
        <w:tbl>
          <w:tblPr>
            <w:tblpPr w:leftFromText="187" w:rightFromText="187" w:horzAnchor="margin" w:tblpXSpec="center" w:tblpY="2881"/>
            <w:tblW w:w="4442" w:type="pct"/>
            <w:tblBorders>
              <w:left w:val="single" w:sz="18" w:space="0" w:color="4F81BD" w:themeColor="accent1"/>
            </w:tblBorders>
            <w:tblLook w:val="04A0" w:firstRow="1" w:lastRow="0" w:firstColumn="1" w:lastColumn="0" w:noHBand="0" w:noVBand="1"/>
          </w:tblPr>
          <w:tblGrid>
            <w:gridCol w:w="8262"/>
          </w:tblGrid>
          <w:tr w:rsidR="0025714A" w:rsidRPr="0025714A" w14:paraId="56970444" w14:textId="77777777" w:rsidTr="00E42C80">
            <w:trPr>
              <w:trHeight w:val="275"/>
            </w:trPr>
            <w:sdt>
              <w:sdtPr>
                <w:rPr>
                  <w:rFonts w:asciiTheme="majorHAnsi" w:eastAsiaTheme="majorEastAsia" w:hAnsiTheme="majorHAnsi" w:cstheme="majorBidi"/>
                  <w:lang w:val="en-AU"/>
                </w:rPr>
                <w:alias w:val="Company"/>
                <w:id w:val="13406915"/>
                <w:dataBinding w:prefixMappings="xmlns:ns0='http://schemas.openxmlformats.org/officeDocument/2006/extended-properties'" w:xpath="/ns0:Properties[1]/ns0:Company[1]" w:storeItemID="{6668398D-A668-4E3E-A5EB-62B293D839F1}"/>
                <w:text/>
              </w:sdtPr>
              <w:sdtEndPr/>
              <w:sdtContent>
                <w:tc>
                  <w:tcPr>
                    <w:tcW w:w="8263" w:type="dxa"/>
                    <w:tcMar>
                      <w:top w:w="216" w:type="dxa"/>
                      <w:left w:w="115" w:type="dxa"/>
                      <w:bottom w:w="216" w:type="dxa"/>
                      <w:right w:w="115" w:type="dxa"/>
                    </w:tcMar>
                  </w:tcPr>
                  <w:p w14:paraId="5B834911" w14:textId="77777777" w:rsidR="00EC7122" w:rsidRPr="0025714A" w:rsidRDefault="00EC7122" w:rsidP="00E42C80">
                    <w:pPr>
                      <w:pStyle w:val="NoSpacing"/>
                      <w:keepLines/>
                      <w:rPr>
                        <w:rFonts w:asciiTheme="majorHAnsi" w:eastAsiaTheme="majorEastAsia" w:hAnsiTheme="majorHAnsi" w:cstheme="majorBidi"/>
                        <w:lang w:val="en-AU"/>
                      </w:rPr>
                    </w:pPr>
                    <w:r w:rsidRPr="0025714A">
                      <w:rPr>
                        <w:rFonts w:asciiTheme="majorHAnsi" w:eastAsiaTheme="majorEastAsia" w:hAnsiTheme="majorHAnsi" w:cstheme="majorBidi"/>
                        <w:lang w:val="en-AU"/>
                      </w:rPr>
                      <w:t>Food Standards Australia New Zealand</w:t>
                    </w:r>
                  </w:p>
                </w:tc>
              </w:sdtContent>
            </w:sdt>
          </w:tr>
          <w:tr w:rsidR="0025714A" w:rsidRPr="0025714A" w14:paraId="54826C2B" w14:textId="77777777" w:rsidTr="00E42C80">
            <w:trPr>
              <w:trHeight w:val="2845"/>
            </w:trPr>
            <w:tc>
              <w:tcPr>
                <w:tcW w:w="8263" w:type="dxa"/>
              </w:tcPr>
              <w:sdt>
                <w:sdtPr>
                  <w:rPr>
                    <w:rFonts w:asciiTheme="majorHAnsi" w:eastAsiaTheme="majorEastAsia" w:hAnsiTheme="majorHAnsi" w:cstheme="majorBidi"/>
                    <w:sz w:val="80"/>
                    <w:szCs w:val="80"/>
                    <w:lang w:val="en-AU"/>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7A8B7E8A" w14:textId="77777777" w:rsidR="00EC7122" w:rsidRPr="0025714A" w:rsidRDefault="00506906" w:rsidP="00506906">
                    <w:pPr>
                      <w:pStyle w:val="NoSpacing"/>
                      <w:keepLines/>
                      <w:rPr>
                        <w:rFonts w:asciiTheme="majorHAnsi" w:eastAsiaTheme="majorEastAsia" w:hAnsiTheme="majorHAnsi" w:cstheme="majorBidi"/>
                        <w:sz w:val="80"/>
                        <w:szCs w:val="80"/>
                        <w:lang w:val="en-AU"/>
                      </w:rPr>
                    </w:pPr>
                    <w:r w:rsidRPr="0025714A">
                      <w:rPr>
                        <w:rFonts w:asciiTheme="majorHAnsi" w:eastAsiaTheme="majorEastAsia" w:hAnsiTheme="majorHAnsi" w:cstheme="majorBidi"/>
                        <w:sz w:val="80"/>
                        <w:szCs w:val="80"/>
                        <w:lang w:val="en-AU"/>
                      </w:rPr>
                      <w:t>Government Costs Associated with the Implementation of New Food Regulation</w:t>
                    </w:r>
                  </w:p>
                </w:sdtContent>
              </w:sdt>
            </w:tc>
          </w:tr>
          <w:tr w:rsidR="0025714A" w:rsidRPr="0025714A" w14:paraId="065A0C0F" w14:textId="77777777" w:rsidTr="00E42C80">
            <w:trPr>
              <w:trHeight w:val="275"/>
            </w:trPr>
            <w:tc>
              <w:tcPr>
                <w:tcW w:w="8263" w:type="dxa"/>
                <w:tcMar>
                  <w:top w:w="216" w:type="dxa"/>
                  <w:left w:w="115" w:type="dxa"/>
                  <w:bottom w:w="216" w:type="dxa"/>
                  <w:right w:w="115" w:type="dxa"/>
                </w:tcMar>
              </w:tcPr>
              <w:p w14:paraId="2A7C8729" w14:textId="77777777" w:rsidR="00EC7122" w:rsidRPr="0025714A" w:rsidRDefault="00CC4EA3" w:rsidP="004E286C">
                <w:pPr>
                  <w:pStyle w:val="NoSpacing"/>
                  <w:keepLines/>
                  <w:rPr>
                    <w:rFonts w:asciiTheme="majorHAnsi" w:eastAsiaTheme="majorEastAsia" w:hAnsiTheme="majorHAnsi" w:cstheme="majorBidi"/>
                    <w:lang w:val="en-AU"/>
                  </w:rPr>
                </w:pPr>
                <w:sdt>
                  <w:sdtPr>
                    <w:rPr>
                      <w:rFonts w:asciiTheme="majorHAnsi" w:eastAsiaTheme="majorEastAsia" w:hAnsiTheme="majorHAnsi" w:cstheme="majorBidi"/>
                      <w:b/>
                      <w:lang w:val="en-AU"/>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r w:rsidR="004E286C" w:rsidRPr="004E286C">
                      <w:rPr>
                        <w:rFonts w:asciiTheme="majorHAnsi" w:eastAsiaTheme="majorEastAsia" w:hAnsiTheme="majorHAnsi" w:cstheme="majorBidi"/>
                        <w:b/>
                        <w:lang w:val="en-AU"/>
                      </w:rPr>
                      <w:t>Findings from a Food Standards Australia New Zealand economic evidence project</w:t>
                    </w:r>
                    <w:r w:rsidR="004E286C">
                      <w:rPr>
                        <w:rFonts w:asciiTheme="majorHAnsi" w:eastAsiaTheme="majorEastAsia" w:hAnsiTheme="majorHAnsi" w:cstheme="majorBidi"/>
                        <w:b/>
                        <w:lang w:val="en-AU"/>
                      </w:rPr>
                      <w:t xml:space="preserve"> r</w:t>
                    </w:r>
                    <w:r w:rsidR="004E286C" w:rsidRPr="004E286C">
                      <w:rPr>
                        <w:rFonts w:asciiTheme="majorHAnsi" w:eastAsiaTheme="majorEastAsia" w:hAnsiTheme="majorHAnsi" w:cstheme="majorBidi"/>
                        <w:b/>
                        <w:lang w:val="en-AU"/>
                      </w:rPr>
                      <w:t>eport prepared for the Australian Department of Health</w:t>
                    </w:r>
                  </w:sdtContent>
                </w:sdt>
              </w:p>
            </w:tc>
          </w:tr>
        </w:tbl>
        <w:tbl>
          <w:tblPr>
            <w:tblpPr w:leftFromText="187" w:rightFromText="187" w:horzAnchor="margin" w:tblpXSpec="center" w:tblpYSpec="bottom"/>
            <w:tblW w:w="4000" w:type="pct"/>
            <w:tblLook w:val="04A0" w:firstRow="1" w:lastRow="0" w:firstColumn="1" w:lastColumn="0" w:noHBand="0" w:noVBand="1"/>
          </w:tblPr>
          <w:tblGrid>
            <w:gridCol w:w="7440"/>
          </w:tblGrid>
          <w:tr w:rsidR="0025714A" w:rsidRPr="0025714A" w14:paraId="09BC0290" w14:textId="77777777" w:rsidTr="00670A3D">
            <w:tc>
              <w:tcPr>
                <w:tcW w:w="7440" w:type="dxa"/>
                <w:tcMar>
                  <w:top w:w="216" w:type="dxa"/>
                  <w:left w:w="115" w:type="dxa"/>
                  <w:bottom w:w="216" w:type="dxa"/>
                  <w:right w:w="115" w:type="dxa"/>
                </w:tcMar>
              </w:tcPr>
              <w:p w14:paraId="478D5EF6" w14:textId="77777777" w:rsidR="00EC7122" w:rsidRPr="0025714A" w:rsidRDefault="008F1882" w:rsidP="00E42C80">
                <w:pPr>
                  <w:pStyle w:val="NoSpacing"/>
                  <w:keepLines/>
                  <w:rPr>
                    <w:lang w:val="en-AU"/>
                  </w:rPr>
                </w:pPr>
                <w:r>
                  <w:rPr>
                    <w:lang w:val="en-AU"/>
                  </w:rPr>
                  <w:t>March</w:t>
                </w:r>
                <w:r w:rsidR="00621903">
                  <w:rPr>
                    <w:lang w:val="en-AU"/>
                  </w:rPr>
                  <w:t xml:space="preserve"> </w:t>
                </w:r>
                <w:r w:rsidR="009652AD">
                  <w:rPr>
                    <w:lang w:val="en-AU"/>
                  </w:rPr>
                  <w:t>2017</w:t>
                </w:r>
              </w:p>
              <w:p w14:paraId="1580D019" w14:textId="77777777" w:rsidR="00EC7122" w:rsidRPr="0025714A" w:rsidRDefault="00EC7122" w:rsidP="00E42C80">
                <w:pPr>
                  <w:pStyle w:val="NoSpacing"/>
                  <w:keepLines/>
                  <w:rPr>
                    <w:lang w:val="en-AU"/>
                  </w:rPr>
                </w:pPr>
              </w:p>
            </w:tc>
          </w:tr>
        </w:tbl>
        <w:p w14:paraId="0CBAF9A0" w14:textId="77777777" w:rsidR="00EC7122" w:rsidRPr="0025714A" w:rsidRDefault="00EC7122" w:rsidP="00EC7122">
          <w:pPr>
            <w:keepLines/>
          </w:pPr>
          <w:r w:rsidRPr="0025714A">
            <w:br w:type="page"/>
          </w:r>
        </w:p>
      </w:sdtContent>
    </w:sdt>
    <w:bookmarkStart w:id="0" w:name="_Toc469999984" w:displacedByCustomXml="next"/>
    <w:bookmarkStart w:id="1" w:name="_Toc482357180" w:displacedByCustomXml="next"/>
    <w:sdt>
      <w:sdtPr>
        <w:rPr>
          <w:rFonts w:ascii="Arial" w:eastAsiaTheme="minorHAnsi" w:hAnsi="Arial" w:cstheme="minorBidi"/>
          <w:b w:val="0"/>
          <w:bCs w:val="0"/>
          <w:sz w:val="22"/>
          <w:szCs w:val="22"/>
        </w:rPr>
        <w:id w:val="1365097409"/>
        <w:docPartObj>
          <w:docPartGallery w:val="Table of Contents"/>
          <w:docPartUnique/>
        </w:docPartObj>
      </w:sdtPr>
      <w:sdtEndPr/>
      <w:sdtContent>
        <w:p w14:paraId="7C072226" w14:textId="77777777" w:rsidR="00EB1DB9" w:rsidRPr="0025714A" w:rsidRDefault="00EB1DB9" w:rsidP="00BB301C">
          <w:pPr>
            <w:pStyle w:val="Heading1"/>
            <w:numPr>
              <w:ilvl w:val="0"/>
              <w:numId w:val="0"/>
            </w:numPr>
            <w:ind w:left="432" w:hanging="432"/>
          </w:pPr>
          <w:r w:rsidRPr="0025714A">
            <w:t>Contents</w:t>
          </w:r>
          <w:bookmarkEnd w:id="1"/>
          <w:bookmarkEnd w:id="0"/>
        </w:p>
        <w:p w14:paraId="4A9CF2B6" w14:textId="77777777" w:rsidR="00324484" w:rsidRDefault="003B11EF">
          <w:pPr>
            <w:pStyle w:val="TOC1"/>
            <w:tabs>
              <w:tab w:val="right" w:leader="dot" w:pos="9060"/>
            </w:tabs>
            <w:rPr>
              <w:rFonts w:asciiTheme="minorHAnsi" w:eastAsiaTheme="minorEastAsia" w:hAnsiTheme="minorHAnsi"/>
              <w:noProof/>
              <w:lang w:val="en-GB" w:eastAsia="en-GB"/>
            </w:rPr>
          </w:pPr>
          <w:r w:rsidRPr="0025714A">
            <w:fldChar w:fldCharType="begin"/>
          </w:r>
          <w:r w:rsidR="00EB1DB9" w:rsidRPr="0025714A">
            <w:instrText xml:space="preserve"> TOC \o "1-3" \h \z \u </w:instrText>
          </w:r>
          <w:r w:rsidRPr="0025714A">
            <w:fldChar w:fldCharType="separate"/>
          </w:r>
          <w:hyperlink w:anchor="_Toc482357180" w:history="1">
            <w:r w:rsidR="00324484" w:rsidRPr="00B4645F">
              <w:rPr>
                <w:rStyle w:val="Hyperlink"/>
                <w:noProof/>
              </w:rPr>
              <w:t>Contents</w:t>
            </w:r>
            <w:r w:rsidR="00324484">
              <w:rPr>
                <w:noProof/>
                <w:webHidden/>
              </w:rPr>
              <w:tab/>
            </w:r>
            <w:r w:rsidR="00324484">
              <w:rPr>
                <w:noProof/>
                <w:webHidden/>
              </w:rPr>
              <w:fldChar w:fldCharType="begin"/>
            </w:r>
            <w:r w:rsidR="00324484">
              <w:rPr>
                <w:noProof/>
                <w:webHidden/>
              </w:rPr>
              <w:instrText xml:space="preserve"> PAGEREF _Toc482357180 \h </w:instrText>
            </w:r>
            <w:r w:rsidR="00324484">
              <w:rPr>
                <w:noProof/>
                <w:webHidden/>
              </w:rPr>
            </w:r>
            <w:r w:rsidR="00324484">
              <w:rPr>
                <w:noProof/>
                <w:webHidden/>
              </w:rPr>
              <w:fldChar w:fldCharType="separate"/>
            </w:r>
            <w:r w:rsidR="00324484">
              <w:rPr>
                <w:noProof/>
                <w:webHidden/>
              </w:rPr>
              <w:t>1</w:t>
            </w:r>
            <w:r w:rsidR="00324484">
              <w:rPr>
                <w:noProof/>
                <w:webHidden/>
              </w:rPr>
              <w:fldChar w:fldCharType="end"/>
            </w:r>
          </w:hyperlink>
        </w:p>
        <w:p w14:paraId="0217FDF9" w14:textId="77777777" w:rsidR="00324484" w:rsidRDefault="00CC4EA3">
          <w:pPr>
            <w:pStyle w:val="TOC1"/>
            <w:tabs>
              <w:tab w:val="right" w:leader="dot" w:pos="9060"/>
            </w:tabs>
            <w:rPr>
              <w:rFonts w:asciiTheme="minorHAnsi" w:eastAsiaTheme="minorEastAsia" w:hAnsiTheme="minorHAnsi"/>
              <w:noProof/>
              <w:lang w:val="en-GB" w:eastAsia="en-GB"/>
            </w:rPr>
          </w:pPr>
          <w:hyperlink w:anchor="_Toc482357181" w:history="1">
            <w:r w:rsidR="00324484" w:rsidRPr="00B4645F">
              <w:rPr>
                <w:rStyle w:val="Hyperlink"/>
                <w:noProof/>
              </w:rPr>
              <w:t>Table of abbreviations</w:t>
            </w:r>
            <w:r w:rsidR="00324484">
              <w:rPr>
                <w:noProof/>
                <w:webHidden/>
              </w:rPr>
              <w:tab/>
            </w:r>
            <w:r w:rsidR="00324484">
              <w:rPr>
                <w:noProof/>
                <w:webHidden/>
              </w:rPr>
              <w:fldChar w:fldCharType="begin"/>
            </w:r>
            <w:r w:rsidR="00324484">
              <w:rPr>
                <w:noProof/>
                <w:webHidden/>
              </w:rPr>
              <w:instrText xml:space="preserve"> PAGEREF _Toc482357181 \h </w:instrText>
            </w:r>
            <w:r w:rsidR="00324484">
              <w:rPr>
                <w:noProof/>
                <w:webHidden/>
              </w:rPr>
            </w:r>
            <w:r w:rsidR="00324484">
              <w:rPr>
                <w:noProof/>
                <w:webHidden/>
              </w:rPr>
              <w:fldChar w:fldCharType="separate"/>
            </w:r>
            <w:r w:rsidR="00324484">
              <w:rPr>
                <w:noProof/>
                <w:webHidden/>
              </w:rPr>
              <w:t>2</w:t>
            </w:r>
            <w:r w:rsidR="00324484">
              <w:rPr>
                <w:noProof/>
                <w:webHidden/>
              </w:rPr>
              <w:fldChar w:fldCharType="end"/>
            </w:r>
          </w:hyperlink>
        </w:p>
        <w:p w14:paraId="6D76E25E" w14:textId="77777777" w:rsidR="00324484" w:rsidRDefault="00CC4EA3">
          <w:pPr>
            <w:pStyle w:val="TOC1"/>
            <w:tabs>
              <w:tab w:val="right" w:leader="dot" w:pos="9060"/>
            </w:tabs>
            <w:rPr>
              <w:rFonts w:asciiTheme="minorHAnsi" w:eastAsiaTheme="minorEastAsia" w:hAnsiTheme="minorHAnsi"/>
              <w:noProof/>
              <w:lang w:val="en-GB" w:eastAsia="en-GB"/>
            </w:rPr>
          </w:pPr>
          <w:hyperlink w:anchor="_Toc482357182" w:history="1">
            <w:r w:rsidR="00324484" w:rsidRPr="00B4645F">
              <w:rPr>
                <w:rStyle w:val="Hyperlink"/>
                <w:noProof/>
              </w:rPr>
              <w:t>Executive summary</w:t>
            </w:r>
            <w:r w:rsidR="00324484">
              <w:rPr>
                <w:noProof/>
                <w:webHidden/>
              </w:rPr>
              <w:tab/>
            </w:r>
            <w:r w:rsidR="00324484">
              <w:rPr>
                <w:noProof/>
                <w:webHidden/>
              </w:rPr>
              <w:fldChar w:fldCharType="begin"/>
            </w:r>
            <w:r w:rsidR="00324484">
              <w:rPr>
                <w:noProof/>
                <w:webHidden/>
              </w:rPr>
              <w:instrText xml:space="preserve"> PAGEREF _Toc482357182 \h </w:instrText>
            </w:r>
            <w:r w:rsidR="00324484">
              <w:rPr>
                <w:noProof/>
                <w:webHidden/>
              </w:rPr>
            </w:r>
            <w:r w:rsidR="00324484">
              <w:rPr>
                <w:noProof/>
                <w:webHidden/>
              </w:rPr>
              <w:fldChar w:fldCharType="separate"/>
            </w:r>
            <w:r w:rsidR="00324484">
              <w:rPr>
                <w:noProof/>
                <w:webHidden/>
              </w:rPr>
              <w:t>3</w:t>
            </w:r>
            <w:r w:rsidR="00324484">
              <w:rPr>
                <w:noProof/>
                <w:webHidden/>
              </w:rPr>
              <w:fldChar w:fldCharType="end"/>
            </w:r>
          </w:hyperlink>
        </w:p>
        <w:p w14:paraId="04D710BD" w14:textId="77777777" w:rsidR="00324484" w:rsidRDefault="00CC4EA3">
          <w:pPr>
            <w:pStyle w:val="TOC1"/>
            <w:tabs>
              <w:tab w:val="left" w:pos="440"/>
              <w:tab w:val="right" w:leader="dot" w:pos="9060"/>
            </w:tabs>
            <w:rPr>
              <w:rFonts w:asciiTheme="minorHAnsi" w:eastAsiaTheme="minorEastAsia" w:hAnsiTheme="minorHAnsi"/>
              <w:noProof/>
              <w:lang w:val="en-GB" w:eastAsia="en-GB"/>
            </w:rPr>
          </w:pPr>
          <w:hyperlink w:anchor="_Toc482357183" w:history="1">
            <w:r w:rsidR="00324484" w:rsidRPr="00B4645F">
              <w:rPr>
                <w:rStyle w:val="Hyperlink"/>
                <w:noProof/>
              </w:rPr>
              <w:t>1</w:t>
            </w:r>
            <w:r w:rsidR="00324484">
              <w:rPr>
                <w:rFonts w:asciiTheme="minorHAnsi" w:eastAsiaTheme="minorEastAsia" w:hAnsiTheme="minorHAnsi"/>
                <w:noProof/>
                <w:lang w:val="en-GB" w:eastAsia="en-GB"/>
              </w:rPr>
              <w:tab/>
            </w:r>
            <w:r w:rsidR="00324484" w:rsidRPr="00B4645F">
              <w:rPr>
                <w:rStyle w:val="Hyperlink"/>
                <w:noProof/>
              </w:rPr>
              <w:t>Introduction</w:t>
            </w:r>
            <w:r w:rsidR="00324484">
              <w:rPr>
                <w:noProof/>
                <w:webHidden/>
              </w:rPr>
              <w:tab/>
            </w:r>
            <w:r w:rsidR="00324484">
              <w:rPr>
                <w:noProof/>
                <w:webHidden/>
              </w:rPr>
              <w:fldChar w:fldCharType="begin"/>
            </w:r>
            <w:r w:rsidR="00324484">
              <w:rPr>
                <w:noProof/>
                <w:webHidden/>
              </w:rPr>
              <w:instrText xml:space="preserve"> PAGEREF _Toc482357183 \h </w:instrText>
            </w:r>
            <w:r w:rsidR="00324484">
              <w:rPr>
                <w:noProof/>
                <w:webHidden/>
              </w:rPr>
            </w:r>
            <w:r w:rsidR="00324484">
              <w:rPr>
                <w:noProof/>
                <w:webHidden/>
              </w:rPr>
              <w:fldChar w:fldCharType="separate"/>
            </w:r>
            <w:r w:rsidR="00324484">
              <w:rPr>
                <w:noProof/>
                <w:webHidden/>
              </w:rPr>
              <w:t>5</w:t>
            </w:r>
            <w:r w:rsidR="00324484">
              <w:rPr>
                <w:noProof/>
                <w:webHidden/>
              </w:rPr>
              <w:fldChar w:fldCharType="end"/>
            </w:r>
          </w:hyperlink>
        </w:p>
        <w:p w14:paraId="49A9CBF2" w14:textId="77777777" w:rsidR="00324484" w:rsidRDefault="00CC4EA3">
          <w:pPr>
            <w:pStyle w:val="TOC2"/>
            <w:tabs>
              <w:tab w:val="left" w:pos="880"/>
              <w:tab w:val="right" w:leader="dot" w:pos="9060"/>
            </w:tabs>
            <w:rPr>
              <w:rFonts w:asciiTheme="minorHAnsi" w:eastAsiaTheme="minorEastAsia" w:hAnsiTheme="minorHAnsi"/>
              <w:noProof/>
              <w:lang w:val="en-GB" w:eastAsia="en-GB"/>
            </w:rPr>
          </w:pPr>
          <w:hyperlink w:anchor="_Toc482357184" w:history="1">
            <w:r w:rsidR="00324484" w:rsidRPr="00B4645F">
              <w:rPr>
                <w:rStyle w:val="Hyperlink"/>
                <w:noProof/>
              </w:rPr>
              <w:t>1.1</w:t>
            </w:r>
            <w:r w:rsidR="00324484">
              <w:rPr>
                <w:rFonts w:asciiTheme="minorHAnsi" w:eastAsiaTheme="minorEastAsia" w:hAnsiTheme="minorHAnsi"/>
                <w:noProof/>
                <w:lang w:val="en-GB" w:eastAsia="en-GB"/>
              </w:rPr>
              <w:tab/>
            </w:r>
            <w:r w:rsidR="00324484" w:rsidRPr="00B4645F">
              <w:rPr>
                <w:rStyle w:val="Hyperlink"/>
                <w:noProof/>
              </w:rPr>
              <w:t>Background</w:t>
            </w:r>
            <w:r w:rsidR="00324484">
              <w:rPr>
                <w:noProof/>
                <w:webHidden/>
              </w:rPr>
              <w:tab/>
            </w:r>
            <w:r w:rsidR="00324484">
              <w:rPr>
                <w:noProof/>
                <w:webHidden/>
              </w:rPr>
              <w:fldChar w:fldCharType="begin"/>
            </w:r>
            <w:r w:rsidR="00324484">
              <w:rPr>
                <w:noProof/>
                <w:webHidden/>
              </w:rPr>
              <w:instrText xml:space="preserve"> PAGEREF _Toc482357184 \h </w:instrText>
            </w:r>
            <w:r w:rsidR="00324484">
              <w:rPr>
                <w:noProof/>
                <w:webHidden/>
              </w:rPr>
            </w:r>
            <w:r w:rsidR="00324484">
              <w:rPr>
                <w:noProof/>
                <w:webHidden/>
              </w:rPr>
              <w:fldChar w:fldCharType="separate"/>
            </w:r>
            <w:r w:rsidR="00324484">
              <w:rPr>
                <w:noProof/>
                <w:webHidden/>
              </w:rPr>
              <w:t>6</w:t>
            </w:r>
            <w:r w:rsidR="00324484">
              <w:rPr>
                <w:noProof/>
                <w:webHidden/>
              </w:rPr>
              <w:fldChar w:fldCharType="end"/>
            </w:r>
          </w:hyperlink>
        </w:p>
        <w:p w14:paraId="1201DFFA" w14:textId="77777777" w:rsidR="00324484" w:rsidRDefault="00CC4EA3">
          <w:pPr>
            <w:pStyle w:val="TOC1"/>
            <w:tabs>
              <w:tab w:val="left" w:pos="440"/>
              <w:tab w:val="right" w:leader="dot" w:pos="9060"/>
            </w:tabs>
            <w:rPr>
              <w:rFonts w:asciiTheme="minorHAnsi" w:eastAsiaTheme="minorEastAsia" w:hAnsiTheme="minorHAnsi"/>
              <w:noProof/>
              <w:lang w:val="en-GB" w:eastAsia="en-GB"/>
            </w:rPr>
          </w:pPr>
          <w:hyperlink w:anchor="_Toc482357185" w:history="1">
            <w:r w:rsidR="00324484" w:rsidRPr="00B4645F">
              <w:rPr>
                <w:rStyle w:val="Hyperlink"/>
                <w:noProof/>
                <w:lang w:eastAsia="en-AU"/>
              </w:rPr>
              <w:t>2</w:t>
            </w:r>
            <w:r w:rsidR="00324484">
              <w:rPr>
                <w:rFonts w:asciiTheme="minorHAnsi" w:eastAsiaTheme="minorEastAsia" w:hAnsiTheme="minorHAnsi"/>
                <w:noProof/>
                <w:lang w:val="en-GB" w:eastAsia="en-GB"/>
              </w:rPr>
              <w:tab/>
            </w:r>
            <w:r w:rsidR="00324484" w:rsidRPr="00B4645F">
              <w:rPr>
                <w:rStyle w:val="Hyperlink"/>
                <w:noProof/>
                <w:lang w:eastAsia="en-AU"/>
              </w:rPr>
              <w:t>Research objective, design and information gathering process</w:t>
            </w:r>
            <w:r w:rsidR="00324484">
              <w:rPr>
                <w:noProof/>
                <w:webHidden/>
              </w:rPr>
              <w:tab/>
            </w:r>
            <w:r w:rsidR="00324484">
              <w:rPr>
                <w:noProof/>
                <w:webHidden/>
              </w:rPr>
              <w:fldChar w:fldCharType="begin"/>
            </w:r>
            <w:r w:rsidR="00324484">
              <w:rPr>
                <w:noProof/>
                <w:webHidden/>
              </w:rPr>
              <w:instrText xml:space="preserve"> PAGEREF _Toc482357185 \h </w:instrText>
            </w:r>
            <w:r w:rsidR="00324484">
              <w:rPr>
                <w:noProof/>
                <w:webHidden/>
              </w:rPr>
            </w:r>
            <w:r w:rsidR="00324484">
              <w:rPr>
                <w:noProof/>
                <w:webHidden/>
              </w:rPr>
              <w:fldChar w:fldCharType="separate"/>
            </w:r>
            <w:r w:rsidR="00324484">
              <w:rPr>
                <w:noProof/>
                <w:webHidden/>
              </w:rPr>
              <w:t>7</w:t>
            </w:r>
            <w:r w:rsidR="00324484">
              <w:rPr>
                <w:noProof/>
                <w:webHidden/>
              </w:rPr>
              <w:fldChar w:fldCharType="end"/>
            </w:r>
          </w:hyperlink>
        </w:p>
        <w:p w14:paraId="6CFA4439" w14:textId="77777777" w:rsidR="00324484" w:rsidRDefault="00CC4EA3">
          <w:pPr>
            <w:pStyle w:val="TOC2"/>
            <w:tabs>
              <w:tab w:val="left" w:pos="880"/>
              <w:tab w:val="right" w:leader="dot" w:pos="9060"/>
            </w:tabs>
            <w:rPr>
              <w:rFonts w:asciiTheme="minorHAnsi" w:eastAsiaTheme="minorEastAsia" w:hAnsiTheme="minorHAnsi"/>
              <w:noProof/>
              <w:lang w:val="en-GB" w:eastAsia="en-GB"/>
            </w:rPr>
          </w:pPr>
          <w:hyperlink w:anchor="_Toc482357186" w:history="1">
            <w:r w:rsidR="00324484" w:rsidRPr="00B4645F">
              <w:rPr>
                <w:rStyle w:val="Hyperlink"/>
                <w:noProof/>
                <w:lang w:eastAsia="en-AU"/>
              </w:rPr>
              <w:t>2.1</w:t>
            </w:r>
            <w:r w:rsidR="00324484">
              <w:rPr>
                <w:rFonts w:asciiTheme="minorHAnsi" w:eastAsiaTheme="minorEastAsia" w:hAnsiTheme="minorHAnsi"/>
                <w:noProof/>
                <w:lang w:val="en-GB" w:eastAsia="en-GB"/>
              </w:rPr>
              <w:tab/>
            </w:r>
            <w:r w:rsidR="00324484" w:rsidRPr="00B4645F">
              <w:rPr>
                <w:rStyle w:val="Hyperlink"/>
                <w:noProof/>
                <w:lang w:eastAsia="en-AU"/>
              </w:rPr>
              <w:t>Project objectives</w:t>
            </w:r>
            <w:r w:rsidR="00324484">
              <w:rPr>
                <w:noProof/>
                <w:webHidden/>
              </w:rPr>
              <w:tab/>
            </w:r>
            <w:r w:rsidR="00324484">
              <w:rPr>
                <w:noProof/>
                <w:webHidden/>
              </w:rPr>
              <w:fldChar w:fldCharType="begin"/>
            </w:r>
            <w:r w:rsidR="00324484">
              <w:rPr>
                <w:noProof/>
                <w:webHidden/>
              </w:rPr>
              <w:instrText xml:space="preserve"> PAGEREF _Toc482357186 \h </w:instrText>
            </w:r>
            <w:r w:rsidR="00324484">
              <w:rPr>
                <w:noProof/>
                <w:webHidden/>
              </w:rPr>
            </w:r>
            <w:r w:rsidR="00324484">
              <w:rPr>
                <w:noProof/>
                <w:webHidden/>
              </w:rPr>
              <w:fldChar w:fldCharType="separate"/>
            </w:r>
            <w:r w:rsidR="00324484">
              <w:rPr>
                <w:noProof/>
                <w:webHidden/>
              </w:rPr>
              <w:t>7</w:t>
            </w:r>
            <w:r w:rsidR="00324484">
              <w:rPr>
                <w:noProof/>
                <w:webHidden/>
              </w:rPr>
              <w:fldChar w:fldCharType="end"/>
            </w:r>
          </w:hyperlink>
        </w:p>
        <w:p w14:paraId="581826B5" w14:textId="77777777" w:rsidR="00324484" w:rsidRDefault="00CC4EA3">
          <w:pPr>
            <w:pStyle w:val="TOC2"/>
            <w:tabs>
              <w:tab w:val="left" w:pos="880"/>
              <w:tab w:val="right" w:leader="dot" w:pos="9060"/>
            </w:tabs>
            <w:rPr>
              <w:rFonts w:asciiTheme="minorHAnsi" w:eastAsiaTheme="minorEastAsia" w:hAnsiTheme="minorHAnsi"/>
              <w:noProof/>
              <w:lang w:val="en-GB" w:eastAsia="en-GB"/>
            </w:rPr>
          </w:pPr>
          <w:hyperlink w:anchor="_Toc482357187" w:history="1">
            <w:r w:rsidR="00324484" w:rsidRPr="00B4645F">
              <w:rPr>
                <w:rStyle w:val="Hyperlink"/>
                <w:noProof/>
                <w:lang w:eastAsia="en-AU"/>
              </w:rPr>
              <w:t>2.2</w:t>
            </w:r>
            <w:r w:rsidR="00324484">
              <w:rPr>
                <w:rFonts w:asciiTheme="minorHAnsi" w:eastAsiaTheme="minorEastAsia" w:hAnsiTheme="minorHAnsi"/>
                <w:noProof/>
                <w:lang w:val="en-GB" w:eastAsia="en-GB"/>
              </w:rPr>
              <w:tab/>
            </w:r>
            <w:r w:rsidR="00324484" w:rsidRPr="00B4645F">
              <w:rPr>
                <w:rStyle w:val="Hyperlink"/>
                <w:noProof/>
                <w:lang w:eastAsia="en-AU"/>
              </w:rPr>
              <w:t>Project design</w:t>
            </w:r>
            <w:r w:rsidR="00324484">
              <w:rPr>
                <w:noProof/>
                <w:webHidden/>
              </w:rPr>
              <w:tab/>
            </w:r>
            <w:r w:rsidR="00324484">
              <w:rPr>
                <w:noProof/>
                <w:webHidden/>
              </w:rPr>
              <w:fldChar w:fldCharType="begin"/>
            </w:r>
            <w:r w:rsidR="00324484">
              <w:rPr>
                <w:noProof/>
                <w:webHidden/>
              </w:rPr>
              <w:instrText xml:space="preserve"> PAGEREF _Toc482357187 \h </w:instrText>
            </w:r>
            <w:r w:rsidR="00324484">
              <w:rPr>
                <w:noProof/>
                <w:webHidden/>
              </w:rPr>
            </w:r>
            <w:r w:rsidR="00324484">
              <w:rPr>
                <w:noProof/>
                <w:webHidden/>
              </w:rPr>
              <w:fldChar w:fldCharType="separate"/>
            </w:r>
            <w:r w:rsidR="00324484">
              <w:rPr>
                <w:noProof/>
                <w:webHidden/>
              </w:rPr>
              <w:t>8</w:t>
            </w:r>
            <w:r w:rsidR="00324484">
              <w:rPr>
                <w:noProof/>
                <w:webHidden/>
              </w:rPr>
              <w:fldChar w:fldCharType="end"/>
            </w:r>
          </w:hyperlink>
        </w:p>
        <w:p w14:paraId="3191CC17" w14:textId="77777777" w:rsidR="00324484" w:rsidRDefault="00CC4EA3">
          <w:pPr>
            <w:pStyle w:val="TOC3"/>
            <w:tabs>
              <w:tab w:val="left" w:pos="1320"/>
              <w:tab w:val="right" w:leader="dot" w:pos="9060"/>
            </w:tabs>
            <w:rPr>
              <w:rFonts w:asciiTheme="minorHAnsi" w:eastAsiaTheme="minorEastAsia" w:hAnsiTheme="minorHAnsi"/>
              <w:noProof/>
              <w:lang w:val="en-GB" w:eastAsia="en-GB"/>
            </w:rPr>
          </w:pPr>
          <w:hyperlink w:anchor="_Toc482357188" w:history="1">
            <w:r w:rsidR="00324484" w:rsidRPr="00B4645F">
              <w:rPr>
                <w:rStyle w:val="Hyperlink"/>
                <w:noProof/>
              </w:rPr>
              <w:t>2.2.1</w:t>
            </w:r>
            <w:r w:rsidR="00324484">
              <w:rPr>
                <w:rFonts w:asciiTheme="minorHAnsi" w:eastAsiaTheme="minorEastAsia" w:hAnsiTheme="minorHAnsi"/>
                <w:noProof/>
                <w:lang w:val="en-GB" w:eastAsia="en-GB"/>
              </w:rPr>
              <w:tab/>
            </w:r>
            <w:r w:rsidR="00324484" w:rsidRPr="00B4645F">
              <w:rPr>
                <w:rStyle w:val="Hyperlink"/>
                <w:noProof/>
              </w:rPr>
              <w:t>Project initiation</w:t>
            </w:r>
            <w:r w:rsidR="00324484">
              <w:rPr>
                <w:noProof/>
                <w:webHidden/>
              </w:rPr>
              <w:tab/>
            </w:r>
            <w:r w:rsidR="00324484">
              <w:rPr>
                <w:noProof/>
                <w:webHidden/>
              </w:rPr>
              <w:fldChar w:fldCharType="begin"/>
            </w:r>
            <w:r w:rsidR="00324484">
              <w:rPr>
                <w:noProof/>
                <w:webHidden/>
              </w:rPr>
              <w:instrText xml:space="preserve"> PAGEREF _Toc482357188 \h </w:instrText>
            </w:r>
            <w:r w:rsidR="00324484">
              <w:rPr>
                <w:noProof/>
                <w:webHidden/>
              </w:rPr>
            </w:r>
            <w:r w:rsidR="00324484">
              <w:rPr>
                <w:noProof/>
                <w:webHidden/>
              </w:rPr>
              <w:fldChar w:fldCharType="separate"/>
            </w:r>
            <w:r w:rsidR="00324484">
              <w:rPr>
                <w:noProof/>
                <w:webHidden/>
              </w:rPr>
              <w:t>8</w:t>
            </w:r>
            <w:r w:rsidR="00324484">
              <w:rPr>
                <w:noProof/>
                <w:webHidden/>
              </w:rPr>
              <w:fldChar w:fldCharType="end"/>
            </w:r>
          </w:hyperlink>
        </w:p>
        <w:p w14:paraId="414F5C22" w14:textId="77777777" w:rsidR="00324484" w:rsidRDefault="00CC4EA3">
          <w:pPr>
            <w:pStyle w:val="TOC3"/>
            <w:tabs>
              <w:tab w:val="left" w:pos="1320"/>
              <w:tab w:val="right" w:leader="dot" w:pos="9060"/>
            </w:tabs>
            <w:rPr>
              <w:rFonts w:asciiTheme="minorHAnsi" w:eastAsiaTheme="minorEastAsia" w:hAnsiTheme="minorHAnsi"/>
              <w:noProof/>
              <w:lang w:val="en-GB" w:eastAsia="en-GB"/>
            </w:rPr>
          </w:pPr>
          <w:hyperlink w:anchor="_Toc482357189" w:history="1">
            <w:r w:rsidR="00324484" w:rsidRPr="00B4645F">
              <w:rPr>
                <w:rStyle w:val="Hyperlink"/>
                <w:noProof/>
              </w:rPr>
              <w:t>2.2.2</w:t>
            </w:r>
            <w:r w:rsidR="00324484">
              <w:rPr>
                <w:rFonts w:asciiTheme="minorHAnsi" w:eastAsiaTheme="minorEastAsia" w:hAnsiTheme="minorHAnsi"/>
                <w:noProof/>
                <w:lang w:val="en-GB" w:eastAsia="en-GB"/>
              </w:rPr>
              <w:tab/>
            </w:r>
            <w:r w:rsidR="00324484" w:rsidRPr="00B4645F">
              <w:rPr>
                <w:rStyle w:val="Hyperlink"/>
                <w:noProof/>
              </w:rPr>
              <w:t>Pilot data collection</w:t>
            </w:r>
            <w:r w:rsidR="00324484">
              <w:rPr>
                <w:noProof/>
                <w:webHidden/>
              </w:rPr>
              <w:tab/>
            </w:r>
            <w:r w:rsidR="00324484">
              <w:rPr>
                <w:noProof/>
                <w:webHidden/>
              </w:rPr>
              <w:fldChar w:fldCharType="begin"/>
            </w:r>
            <w:r w:rsidR="00324484">
              <w:rPr>
                <w:noProof/>
                <w:webHidden/>
              </w:rPr>
              <w:instrText xml:space="preserve"> PAGEREF _Toc482357189 \h </w:instrText>
            </w:r>
            <w:r w:rsidR="00324484">
              <w:rPr>
                <w:noProof/>
                <w:webHidden/>
              </w:rPr>
            </w:r>
            <w:r w:rsidR="00324484">
              <w:rPr>
                <w:noProof/>
                <w:webHidden/>
              </w:rPr>
              <w:fldChar w:fldCharType="separate"/>
            </w:r>
            <w:r w:rsidR="00324484">
              <w:rPr>
                <w:noProof/>
                <w:webHidden/>
              </w:rPr>
              <w:t>9</w:t>
            </w:r>
            <w:r w:rsidR="00324484">
              <w:rPr>
                <w:noProof/>
                <w:webHidden/>
              </w:rPr>
              <w:fldChar w:fldCharType="end"/>
            </w:r>
          </w:hyperlink>
        </w:p>
        <w:p w14:paraId="1C8E4CA9" w14:textId="77777777" w:rsidR="00324484" w:rsidRDefault="00CC4EA3">
          <w:pPr>
            <w:pStyle w:val="TOC3"/>
            <w:tabs>
              <w:tab w:val="left" w:pos="1320"/>
              <w:tab w:val="right" w:leader="dot" w:pos="9060"/>
            </w:tabs>
            <w:rPr>
              <w:rFonts w:asciiTheme="minorHAnsi" w:eastAsiaTheme="minorEastAsia" w:hAnsiTheme="minorHAnsi"/>
              <w:noProof/>
              <w:lang w:val="en-GB" w:eastAsia="en-GB"/>
            </w:rPr>
          </w:pPr>
          <w:hyperlink w:anchor="_Toc482357190" w:history="1">
            <w:r w:rsidR="00324484" w:rsidRPr="00B4645F">
              <w:rPr>
                <w:rStyle w:val="Hyperlink"/>
                <w:noProof/>
              </w:rPr>
              <w:t>2.2.3</w:t>
            </w:r>
            <w:r w:rsidR="00324484">
              <w:rPr>
                <w:rFonts w:asciiTheme="minorHAnsi" w:eastAsiaTheme="minorEastAsia" w:hAnsiTheme="minorHAnsi"/>
                <w:noProof/>
                <w:lang w:val="en-GB" w:eastAsia="en-GB"/>
              </w:rPr>
              <w:tab/>
            </w:r>
            <w:r w:rsidR="00324484" w:rsidRPr="00B4645F">
              <w:rPr>
                <w:rStyle w:val="Hyperlink"/>
                <w:noProof/>
              </w:rPr>
              <w:t>Data collection</w:t>
            </w:r>
            <w:r w:rsidR="00324484">
              <w:rPr>
                <w:noProof/>
                <w:webHidden/>
              </w:rPr>
              <w:tab/>
            </w:r>
            <w:r w:rsidR="00324484">
              <w:rPr>
                <w:noProof/>
                <w:webHidden/>
              </w:rPr>
              <w:fldChar w:fldCharType="begin"/>
            </w:r>
            <w:r w:rsidR="00324484">
              <w:rPr>
                <w:noProof/>
                <w:webHidden/>
              </w:rPr>
              <w:instrText xml:space="preserve"> PAGEREF _Toc482357190 \h </w:instrText>
            </w:r>
            <w:r w:rsidR="00324484">
              <w:rPr>
                <w:noProof/>
                <w:webHidden/>
              </w:rPr>
            </w:r>
            <w:r w:rsidR="00324484">
              <w:rPr>
                <w:noProof/>
                <w:webHidden/>
              </w:rPr>
              <w:fldChar w:fldCharType="separate"/>
            </w:r>
            <w:r w:rsidR="00324484">
              <w:rPr>
                <w:noProof/>
                <w:webHidden/>
              </w:rPr>
              <w:t>9</w:t>
            </w:r>
            <w:r w:rsidR="00324484">
              <w:rPr>
                <w:noProof/>
                <w:webHidden/>
              </w:rPr>
              <w:fldChar w:fldCharType="end"/>
            </w:r>
          </w:hyperlink>
        </w:p>
        <w:p w14:paraId="1A1FADBD" w14:textId="77777777" w:rsidR="00324484" w:rsidRDefault="00CC4EA3">
          <w:pPr>
            <w:pStyle w:val="TOC3"/>
            <w:tabs>
              <w:tab w:val="left" w:pos="1320"/>
              <w:tab w:val="right" w:leader="dot" w:pos="9060"/>
            </w:tabs>
            <w:rPr>
              <w:rFonts w:asciiTheme="minorHAnsi" w:eastAsiaTheme="minorEastAsia" w:hAnsiTheme="minorHAnsi"/>
              <w:noProof/>
              <w:lang w:val="en-GB" w:eastAsia="en-GB"/>
            </w:rPr>
          </w:pPr>
          <w:hyperlink w:anchor="_Toc482357191" w:history="1">
            <w:r w:rsidR="00324484" w:rsidRPr="00B4645F">
              <w:rPr>
                <w:rStyle w:val="Hyperlink"/>
                <w:noProof/>
              </w:rPr>
              <w:t>2.2.4</w:t>
            </w:r>
            <w:r w:rsidR="00324484">
              <w:rPr>
                <w:rFonts w:asciiTheme="minorHAnsi" w:eastAsiaTheme="minorEastAsia" w:hAnsiTheme="minorHAnsi"/>
                <w:noProof/>
                <w:lang w:val="en-GB" w:eastAsia="en-GB"/>
              </w:rPr>
              <w:tab/>
            </w:r>
            <w:r w:rsidR="00324484" w:rsidRPr="00B4645F">
              <w:rPr>
                <w:rStyle w:val="Hyperlink"/>
                <w:noProof/>
              </w:rPr>
              <w:t>Analysis and development</w:t>
            </w:r>
            <w:r w:rsidR="00324484">
              <w:rPr>
                <w:noProof/>
                <w:webHidden/>
              </w:rPr>
              <w:tab/>
            </w:r>
            <w:r w:rsidR="00324484">
              <w:rPr>
                <w:noProof/>
                <w:webHidden/>
              </w:rPr>
              <w:fldChar w:fldCharType="begin"/>
            </w:r>
            <w:r w:rsidR="00324484">
              <w:rPr>
                <w:noProof/>
                <w:webHidden/>
              </w:rPr>
              <w:instrText xml:space="preserve"> PAGEREF _Toc482357191 \h </w:instrText>
            </w:r>
            <w:r w:rsidR="00324484">
              <w:rPr>
                <w:noProof/>
                <w:webHidden/>
              </w:rPr>
            </w:r>
            <w:r w:rsidR="00324484">
              <w:rPr>
                <w:noProof/>
                <w:webHidden/>
              </w:rPr>
              <w:fldChar w:fldCharType="separate"/>
            </w:r>
            <w:r w:rsidR="00324484">
              <w:rPr>
                <w:noProof/>
                <w:webHidden/>
              </w:rPr>
              <w:t>10</w:t>
            </w:r>
            <w:r w:rsidR="00324484">
              <w:rPr>
                <w:noProof/>
                <w:webHidden/>
              </w:rPr>
              <w:fldChar w:fldCharType="end"/>
            </w:r>
          </w:hyperlink>
        </w:p>
        <w:p w14:paraId="4C58E3EE" w14:textId="77777777" w:rsidR="00324484" w:rsidRDefault="00CC4EA3">
          <w:pPr>
            <w:pStyle w:val="TOC3"/>
            <w:tabs>
              <w:tab w:val="left" w:pos="1320"/>
              <w:tab w:val="right" w:leader="dot" w:pos="9060"/>
            </w:tabs>
            <w:rPr>
              <w:rFonts w:asciiTheme="minorHAnsi" w:eastAsiaTheme="minorEastAsia" w:hAnsiTheme="minorHAnsi"/>
              <w:noProof/>
              <w:lang w:val="en-GB" w:eastAsia="en-GB"/>
            </w:rPr>
          </w:pPr>
          <w:hyperlink w:anchor="_Toc482357192" w:history="1">
            <w:r w:rsidR="00324484" w:rsidRPr="00B4645F">
              <w:rPr>
                <w:rStyle w:val="Hyperlink"/>
                <w:noProof/>
                <w:snapToGrid w:val="0"/>
              </w:rPr>
              <w:t>2.2.5</w:t>
            </w:r>
            <w:r w:rsidR="00324484">
              <w:rPr>
                <w:rFonts w:asciiTheme="minorHAnsi" w:eastAsiaTheme="minorEastAsia" w:hAnsiTheme="minorHAnsi"/>
                <w:noProof/>
                <w:lang w:val="en-GB" w:eastAsia="en-GB"/>
              </w:rPr>
              <w:tab/>
            </w:r>
            <w:r w:rsidR="00324484" w:rsidRPr="00B4645F">
              <w:rPr>
                <w:rStyle w:val="Hyperlink"/>
                <w:noProof/>
                <w:snapToGrid w:val="0"/>
              </w:rPr>
              <w:t>Consultation and refinement</w:t>
            </w:r>
            <w:r w:rsidR="00324484">
              <w:rPr>
                <w:noProof/>
                <w:webHidden/>
              </w:rPr>
              <w:tab/>
            </w:r>
            <w:r w:rsidR="00324484">
              <w:rPr>
                <w:noProof/>
                <w:webHidden/>
              </w:rPr>
              <w:fldChar w:fldCharType="begin"/>
            </w:r>
            <w:r w:rsidR="00324484">
              <w:rPr>
                <w:noProof/>
                <w:webHidden/>
              </w:rPr>
              <w:instrText xml:space="preserve"> PAGEREF _Toc482357192 \h </w:instrText>
            </w:r>
            <w:r w:rsidR="00324484">
              <w:rPr>
                <w:noProof/>
                <w:webHidden/>
              </w:rPr>
            </w:r>
            <w:r w:rsidR="00324484">
              <w:rPr>
                <w:noProof/>
                <w:webHidden/>
              </w:rPr>
              <w:fldChar w:fldCharType="separate"/>
            </w:r>
            <w:r w:rsidR="00324484">
              <w:rPr>
                <w:noProof/>
                <w:webHidden/>
              </w:rPr>
              <w:t>11</w:t>
            </w:r>
            <w:r w:rsidR="00324484">
              <w:rPr>
                <w:noProof/>
                <w:webHidden/>
              </w:rPr>
              <w:fldChar w:fldCharType="end"/>
            </w:r>
          </w:hyperlink>
        </w:p>
        <w:p w14:paraId="092D0B1D" w14:textId="77777777" w:rsidR="00324484" w:rsidRDefault="00CC4EA3">
          <w:pPr>
            <w:pStyle w:val="TOC1"/>
            <w:tabs>
              <w:tab w:val="left" w:pos="440"/>
              <w:tab w:val="right" w:leader="dot" w:pos="9060"/>
            </w:tabs>
            <w:rPr>
              <w:rFonts w:asciiTheme="minorHAnsi" w:eastAsiaTheme="minorEastAsia" w:hAnsiTheme="minorHAnsi"/>
              <w:noProof/>
              <w:lang w:val="en-GB" w:eastAsia="en-GB"/>
            </w:rPr>
          </w:pPr>
          <w:hyperlink w:anchor="_Toc482357193" w:history="1">
            <w:r w:rsidR="00324484" w:rsidRPr="00B4645F">
              <w:rPr>
                <w:rStyle w:val="Hyperlink"/>
                <w:noProof/>
                <w:lang w:eastAsia="en-AU"/>
              </w:rPr>
              <w:t>3</w:t>
            </w:r>
            <w:r w:rsidR="00324484">
              <w:rPr>
                <w:rFonts w:asciiTheme="minorHAnsi" w:eastAsiaTheme="minorEastAsia" w:hAnsiTheme="minorHAnsi"/>
                <w:noProof/>
                <w:lang w:val="en-GB" w:eastAsia="en-GB"/>
              </w:rPr>
              <w:tab/>
            </w:r>
            <w:r w:rsidR="00324484" w:rsidRPr="00B4645F">
              <w:rPr>
                <w:rStyle w:val="Hyperlink"/>
                <w:noProof/>
                <w:lang w:eastAsia="en-AU"/>
              </w:rPr>
              <w:t>Consideration of which agency implementation activities should and should not be taken into account</w:t>
            </w:r>
            <w:r w:rsidR="00324484">
              <w:rPr>
                <w:noProof/>
                <w:webHidden/>
              </w:rPr>
              <w:tab/>
            </w:r>
            <w:r w:rsidR="00324484">
              <w:rPr>
                <w:noProof/>
                <w:webHidden/>
              </w:rPr>
              <w:fldChar w:fldCharType="begin"/>
            </w:r>
            <w:r w:rsidR="00324484">
              <w:rPr>
                <w:noProof/>
                <w:webHidden/>
              </w:rPr>
              <w:instrText xml:space="preserve"> PAGEREF _Toc482357193 \h </w:instrText>
            </w:r>
            <w:r w:rsidR="00324484">
              <w:rPr>
                <w:noProof/>
                <w:webHidden/>
              </w:rPr>
            </w:r>
            <w:r w:rsidR="00324484">
              <w:rPr>
                <w:noProof/>
                <w:webHidden/>
              </w:rPr>
              <w:fldChar w:fldCharType="separate"/>
            </w:r>
            <w:r w:rsidR="00324484">
              <w:rPr>
                <w:noProof/>
                <w:webHidden/>
              </w:rPr>
              <w:t>11</w:t>
            </w:r>
            <w:r w:rsidR="00324484">
              <w:rPr>
                <w:noProof/>
                <w:webHidden/>
              </w:rPr>
              <w:fldChar w:fldCharType="end"/>
            </w:r>
          </w:hyperlink>
        </w:p>
        <w:p w14:paraId="20100F5C" w14:textId="77777777" w:rsidR="00324484" w:rsidRDefault="00CC4EA3">
          <w:pPr>
            <w:pStyle w:val="TOC2"/>
            <w:tabs>
              <w:tab w:val="left" w:pos="880"/>
              <w:tab w:val="right" w:leader="dot" w:pos="9060"/>
            </w:tabs>
            <w:rPr>
              <w:rFonts w:asciiTheme="minorHAnsi" w:eastAsiaTheme="minorEastAsia" w:hAnsiTheme="minorHAnsi"/>
              <w:noProof/>
              <w:lang w:val="en-GB" w:eastAsia="en-GB"/>
            </w:rPr>
          </w:pPr>
          <w:hyperlink w:anchor="_Toc482357194" w:history="1">
            <w:r w:rsidR="00324484" w:rsidRPr="00B4645F">
              <w:rPr>
                <w:rStyle w:val="Hyperlink"/>
                <w:noProof/>
              </w:rPr>
              <w:t>3.1</w:t>
            </w:r>
            <w:r w:rsidR="00324484">
              <w:rPr>
                <w:rFonts w:asciiTheme="minorHAnsi" w:eastAsiaTheme="minorEastAsia" w:hAnsiTheme="minorHAnsi"/>
                <w:noProof/>
                <w:lang w:val="en-GB" w:eastAsia="en-GB"/>
              </w:rPr>
              <w:tab/>
            </w:r>
            <w:r w:rsidR="00324484" w:rsidRPr="00B4645F">
              <w:rPr>
                <w:rStyle w:val="Hyperlink"/>
                <w:noProof/>
              </w:rPr>
              <w:t>Agency costs</w:t>
            </w:r>
            <w:r w:rsidR="00324484">
              <w:rPr>
                <w:noProof/>
                <w:webHidden/>
              </w:rPr>
              <w:tab/>
            </w:r>
            <w:r w:rsidR="00324484">
              <w:rPr>
                <w:noProof/>
                <w:webHidden/>
              </w:rPr>
              <w:fldChar w:fldCharType="begin"/>
            </w:r>
            <w:r w:rsidR="00324484">
              <w:rPr>
                <w:noProof/>
                <w:webHidden/>
              </w:rPr>
              <w:instrText xml:space="preserve"> PAGEREF _Toc482357194 \h </w:instrText>
            </w:r>
            <w:r w:rsidR="00324484">
              <w:rPr>
                <w:noProof/>
                <w:webHidden/>
              </w:rPr>
            </w:r>
            <w:r w:rsidR="00324484">
              <w:rPr>
                <w:noProof/>
                <w:webHidden/>
              </w:rPr>
              <w:fldChar w:fldCharType="separate"/>
            </w:r>
            <w:r w:rsidR="00324484">
              <w:rPr>
                <w:noProof/>
                <w:webHidden/>
              </w:rPr>
              <w:t>11</w:t>
            </w:r>
            <w:r w:rsidR="00324484">
              <w:rPr>
                <w:noProof/>
                <w:webHidden/>
              </w:rPr>
              <w:fldChar w:fldCharType="end"/>
            </w:r>
          </w:hyperlink>
        </w:p>
        <w:p w14:paraId="2329FC43" w14:textId="77777777" w:rsidR="00324484" w:rsidRDefault="00CC4EA3">
          <w:pPr>
            <w:pStyle w:val="TOC3"/>
            <w:tabs>
              <w:tab w:val="left" w:pos="1320"/>
              <w:tab w:val="right" w:leader="dot" w:pos="9060"/>
            </w:tabs>
            <w:rPr>
              <w:rFonts w:asciiTheme="minorHAnsi" w:eastAsiaTheme="minorEastAsia" w:hAnsiTheme="minorHAnsi"/>
              <w:noProof/>
              <w:lang w:val="en-GB" w:eastAsia="en-GB"/>
            </w:rPr>
          </w:pPr>
          <w:hyperlink w:anchor="_Toc482357195" w:history="1">
            <w:r w:rsidR="00324484" w:rsidRPr="00B4645F">
              <w:rPr>
                <w:rStyle w:val="Hyperlink"/>
                <w:noProof/>
              </w:rPr>
              <w:t>3.1.1</w:t>
            </w:r>
            <w:r w:rsidR="00324484">
              <w:rPr>
                <w:rFonts w:asciiTheme="minorHAnsi" w:eastAsiaTheme="minorEastAsia" w:hAnsiTheme="minorHAnsi"/>
                <w:noProof/>
                <w:lang w:val="en-GB" w:eastAsia="en-GB"/>
              </w:rPr>
              <w:tab/>
            </w:r>
            <w:r w:rsidR="00324484" w:rsidRPr="00B4645F">
              <w:rPr>
                <w:rStyle w:val="Hyperlink"/>
                <w:noProof/>
              </w:rPr>
              <w:t>Policy type activities</w:t>
            </w:r>
            <w:r w:rsidR="00324484">
              <w:rPr>
                <w:noProof/>
                <w:webHidden/>
              </w:rPr>
              <w:tab/>
            </w:r>
            <w:r w:rsidR="00324484">
              <w:rPr>
                <w:noProof/>
                <w:webHidden/>
              </w:rPr>
              <w:fldChar w:fldCharType="begin"/>
            </w:r>
            <w:r w:rsidR="00324484">
              <w:rPr>
                <w:noProof/>
                <w:webHidden/>
              </w:rPr>
              <w:instrText xml:space="preserve"> PAGEREF _Toc482357195 \h </w:instrText>
            </w:r>
            <w:r w:rsidR="00324484">
              <w:rPr>
                <w:noProof/>
                <w:webHidden/>
              </w:rPr>
            </w:r>
            <w:r w:rsidR="00324484">
              <w:rPr>
                <w:noProof/>
                <w:webHidden/>
              </w:rPr>
              <w:fldChar w:fldCharType="separate"/>
            </w:r>
            <w:r w:rsidR="00324484">
              <w:rPr>
                <w:noProof/>
                <w:webHidden/>
              </w:rPr>
              <w:t>11</w:t>
            </w:r>
            <w:r w:rsidR="00324484">
              <w:rPr>
                <w:noProof/>
                <w:webHidden/>
              </w:rPr>
              <w:fldChar w:fldCharType="end"/>
            </w:r>
          </w:hyperlink>
        </w:p>
        <w:p w14:paraId="1CBF66E4" w14:textId="77777777" w:rsidR="00324484" w:rsidRDefault="00CC4EA3">
          <w:pPr>
            <w:pStyle w:val="TOC3"/>
            <w:tabs>
              <w:tab w:val="left" w:pos="1320"/>
              <w:tab w:val="right" w:leader="dot" w:pos="9060"/>
            </w:tabs>
            <w:rPr>
              <w:rFonts w:asciiTheme="minorHAnsi" w:eastAsiaTheme="minorEastAsia" w:hAnsiTheme="minorHAnsi"/>
              <w:noProof/>
              <w:lang w:val="en-GB" w:eastAsia="en-GB"/>
            </w:rPr>
          </w:pPr>
          <w:hyperlink w:anchor="_Toc482357196" w:history="1">
            <w:r w:rsidR="00324484" w:rsidRPr="00B4645F">
              <w:rPr>
                <w:rStyle w:val="Hyperlink"/>
                <w:noProof/>
              </w:rPr>
              <w:t>3.1.2</w:t>
            </w:r>
            <w:r w:rsidR="00324484">
              <w:rPr>
                <w:rFonts w:asciiTheme="minorHAnsi" w:eastAsiaTheme="minorEastAsia" w:hAnsiTheme="minorHAnsi"/>
                <w:noProof/>
                <w:lang w:val="en-GB" w:eastAsia="en-GB"/>
              </w:rPr>
              <w:tab/>
            </w:r>
            <w:r w:rsidR="00324484" w:rsidRPr="00B4645F">
              <w:rPr>
                <w:rStyle w:val="Hyperlink"/>
                <w:noProof/>
              </w:rPr>
              <w:t>Compliance type activities</w:t>
            </w:r>
            <w:r w:rsidR="00324484">
              <w:rPr>
                <w:noProof/>
                <w:webHidden/>
              </w:rPr>
              <w:tab/>
            </w:r>
            <w:r w:rsidR="00324484">
              <w:rPr>
                <w:noProof/>
                <w:webHidden/>
              </w:rPr>
              <w:fldChar w:fldCharType="begin"/>
            </w:r>
            <w:r w:rsidR="00324484">
              <w:rPr>
                <w:noProof/>
                <w:webHidden/>
              </w:rPr>
              <w:instrText xml:space="preserve"> PAGEREF _Toc482357196 \h </w:instrText>
            </w:r>
            <w:r w:rsidR="00324484">
              <w:rPr>
                <w:noProof/>
                <w:webHidden/>
              </w:rPr>
            </w:r>
            <w:r w:rsidR="00324484">
              <w:rPr>
                <w:noProof/>
                <w:webHidden/>
              </w:rPr>
              <w:fldChar w:fldCharType="separate"/>
            </w:r>
            <w:r w:rsidR="00324484">
              <w:rPr>
                <w:noProof/>
                <w:webHidden/>
              </w:rPr>
              <w:t>13</w:t>
            </w:r>
            <w:r w:rsidR="00324484">
              <w:rPr>
                <w:noProof/>
                <w:webHidden/>
              </w:rPr>
              <w:fldChar w:fldCharType="end"/>
            </w:r>
          </w:hyperlink>
        </w:p>
        <w:p w14:paraId="75DAF66B" w14:textId="77777777" w:rsidR="00324484" w:rsidRDefault="00CC4EA3">
          <w:pPr>
            <w:pStyle w:val="TOC3"/>
            <w:tabs>
              <w:tab w:val="left" w:pos="1320"/>
              <w:tab w:val="right" w:leader="dot" w:pos="9060"/>
            </w:tabs>
            <w:rPr>
              <w:rFonts w:asciiTheme="minorHAnsi" w:eastAsiaTheme="minorEastAsia" w:hAnsiTheme="minorHAnsi"/>
              <w:noProof/>
              <w:lang w:val="en-GB" w:eastAsia="en-GB"/>
            </w:rPr>
          </w:pPr>
          <w:hyperlink w:anchor="_Toc482357197" w:history="1">
            <w:r w:rsidR="00324484" w:rsidRPr="00B4645F">
              <w:rPr>
                <w:rStyle w:val="Hyperlink"/>
                <w:noProof/>
              </w:rPr>
              <w:t>3.1.3</w:t>
            </w:r>
            <w:r w:rsidR="00324484">
              <w:rPr>
                <w:rFonts w:asciiTheme="minorHAnsi" w:eastAsiaTheme="minorEastAsia" w:hAnsiTheme="minorHAnsi"/>
                <w:noProof/>
                <w:lang w:val="en-GB" w:eastAsia="en-GB"/>
              </w:rPr>
              <w:tab/>
            </w:r>
            <w:r w:rsidR="00324484" w:rsidRPr="00B4645F">
              <w:rPr>
                <w:rStyle w:val="Hyperlink"/>
                <w:noProof/>
              </w:rPr>
              <w:t>Enforcement type activities</w:t>
            </w:r>
            <w:r w:rsidR="00324484">
              <w:rPr>
                <w:noProof/>
                <w:webHidden/>
              </w:rPr>
              <w:tab/>
            </w:r>
            <w:r w:rsidR="00324484">
              <w:rPr>
                <w:noProof/>
                <w:webHidden/>
              </w:rPr>
              <w:fldChar w:fldCharType="begin"/>
            </w:r>
            <w:r w:rsidR="00324484">
              <w:rPr>
                <w:noProof/>
                <w:webHidden/>
              </w:rPr>
              <w:instrText xml:space="preserve"> PAGEREF _Toc482357197 \h </w:instrText>
            </w:r>
            <w:r w:rsidR="00324484">
              <w:rPr>
                <w:noProof/>
                <w:webHidden/>
              </w:rPr>
            </w:r>
            <w:r w:rsidR="00324484">
              <w:rPr>
                <w:noProof/>
                <w:webHidden/>
              </w:rPr>
              <w:fldChar w:fldCharType="separate"/>
            </w:r>
            <w:r w:rsidR="00324484">
              <w:rPr>
                <w:noProof/>
                <w:webHidden/>
              </w:rPr>
              <w:t>13</w:t>
            </w:r>
            <w:r w:rsidR="00324484">
              <w:rPr>
                <w:noProof/>
                <w:webHidden/>
              </w:rPr>
              <w:fldChar w:fldCharType="end"/>
            </w:r>
          </w:hyperlink>
        </w:p>
        <w:p w14:paraId="6C2C4C8C" w14:textId="77777777" w:rsidR="00324484" w:rsidRDefault="00CC4EA3">
          <w:pPr>
            <w:pStyle w:val="TOC3"/>
            <w:tabs>
              <w:tab w:val="left" w:pos="1320"/>
              <w:tab w:val="right" w:leader="dot" w:pos="9060"/>
            </w:tabs>
            <w:rPr>
              <w:rFonts w:asciiTheme="minorHAnsi" w:eastAsiaTheme="minorEastAsia" w:hAnsiTheme="minorHAnsi"/>
              <w:noProof/>
              <w:lang w:val="en-GB" w:eastAsia="en-GB"/>
            </w:rPr>
          </w:pPr>
          <w:hyperlink w:anchor="_Toc482357198" w:history="1">
            <w:r w:rsidR="00324484" w:rsidRPr="00B4645F">
              <w:rPr>
                <w:rStyle w:val="Hyperlink"/>
                <w:noProof/>
              </w:rPr>
              <w:t>3.1.4</w:t>
            </w:r>
            <w:r w:rsidR="00324484">
              <w:rPr>
                <w:rFonts w:asciiTheme="minorHAnsi" w:eastAsiaTheme="minorEastAsia" w:hAnsiTheme="minorHAnsi"/>
                <w:noProof/>
                <w:lang w:val="en-GB" w:eastAsia="en-GB"/>
              </w:rPr>
              <w:tab/>
            </w:r>
            <w:r w:rsidR="00324484" w:rsidRPr="00B4645F">
              <w:rPr>
                <w:rStyle w:val="Hyperlink"/>
                <w:noProof/>
              </w:rPr>
              <w:t>Food incidents management type of activities</w:t>
            </w:r>
            <w:r w:rsidR="00324484">
              <w:rPr>
                <w:noProof/>
                <w:webHidden/>
              </w:rPr>
              <w:tab/>
            </w:r>
            <w:r w:rsidR="00324484">
              <w:rPr>
                <w:noProof/>
                <w:webHidden/>
              </w:rPr>
              <w:fldChar w:fldCharType="begin"/>
            </w:r>
            <w:r w:rsidR="00324484">
              <w:rPr>
                <w:noProof/>
                <w:webHidden/>
              </w:rPr>
              <w:instrText xml:space="preserve"> PAGEREF _Toc482357198 \h </w:instrText>
            </w:r>
            <w:r w:rsidR="00324484">
              <w:rPr>
                <w:noProof/>
                <w:webHidden/>
              </w:rPr>
            </w:r>
            <w:r w:rsidR="00324484">
              <w:rPr>
                <w:noProof/>
                <w:webHidden/>
              </w:rPr>
              <w:fldChar w:fldCharType="separate"/>
            </w:r>
            <w:r w:rsidR="00324484">
              <w:rPr>
                <w:noProof/>
                <w:webHidden/>
              </w:rPr>
              <w:t>14</w:t>
            </w:r>
            <w:r w:rsidR="00324484">
              <w:rPr>
                <w:noProof/>
                <w:webHidden/>
              </w:rPr>
              <w:fldChar w:fldCharType="end"/>
            </w:r>
          </w:hyperlink>
        </w:p>
        <w:p w14:paraId="7A81836D" w14:textId="77777777" w:rsidR="00324484" w:rsidRDefault="00CC4EA3">
          <w:pPr>
            <w:pStyle w:val="TOC2"/>
            <w:tabs>
              <w:tab w:val="left" w:pos="880"/>
              <w:tab w:val="right" w:leader="dot" w:pos="9060"/>
            </w:tabs>
            <w:rPr>
              <w:rFonts w:asciiTheme="minorHAnsi" w:eastAsiaTheme="minorEastAsia" w:hAnsiTheme="minorHAnsi"/>
              <w:noProof/>
              <w:lang w:val="en-GB" w:eastAsia="en-GB"/>
            </w:rPr>
          </w:pPr>
          <w:hyperlink w:anchor="_Toc482357199" w:history="1">
            <w:r w:rsidR="00324484" w:rsidRPr="00B4645F">
              <w:rPr>
                <w:rStyle w:val="Hyperlink"/>
                <w:noProof/>
              </w:rPr>
              <w:t>3.2</w:t>
            </w:r>
            <w:r w:rsidR="00324484">
              <w:rPr>
                <w:rFonts w:asciiTheme="minorHAnsi" w:eastAsiaTheme="minorEastAsia" w:hAnsiTheme="minorHAnsi"/>
                <w:noProof/>
                <w:lang w:val="en-GB" w:eastAsia="en-GB"/>
              </w:rPr>
              <w:tab/>
            </w:r>
            <w:r w:rsidR="00324484" w:rsidRPr="00B4645F">
              <w:rPr>
                <w:rStyle w:val="Hyperlink"/>
                <w:noProof/>
              </w:rPr>
              <w:t>Agency benefits</w:t>
            </w:r>
            <w:r w:rsidR="00324484">
              <w:rPr>
                <w:noProof/>
                <w:webHidden/>
              </w:rPr>
              <w:tab/>
            </w:r>
            <w:r w:rsidR="00324484">
              <w:rPr>
                <w:noProof/>
                <w:webHidden/>
              </w:rPr>
              <w:fldChar w:fldCharType="begin"/>
            </w:r>
            <w:r w:rsidR="00324484">
              <w:rPr>
                <w:noProof/>
                <w:webHidden/>
              </w:rPr>
              <w:instrText xml:space="preserve"> PAGEREF _Toc482357199 \h </w:instrText>
            </w:r>
            <w:r w:rsidR="00324484">
              <w:rPr>
                <w:noProof/>
                <w:webHidden/>
              </w:rPr>
            </w:r>
            <w:r w:rsidR="00324484">
              <w:rPr>
                <w:noProof/>
                <w:webHidden/>
              </w:rPr>
              <w:fldChar w:fldCharType="separate"/>
            </w:r>
            <w:r w:rsidR="00324484">
              <w:rPr>
                <w:noProof/>
                <w:webHidden/>
              </w:rPr>
              <w:t>15</w:t>
            </w:r>
            <w:r w:rsidR="00324484">
              <w:rPr>
                <w:noProof/>
                <w:webHidden/>
              </w:rPr>
              <w:fldChar w:fldCharType="end"/>
            </w:r>
          </w:hyperlink>
        </w:p>
        <w:p w14:paraId="559BF471" w14:textId="77777777" w:rsidR="00324484" w:rsidRDefault="00CC4EA3">
          <w:pPr>
            <w:pStyle w:val="TOC1"/>
            <w:tabs>
              <w:tab w:val="left" w:pos="440"/>
              <w:tab w:val="right" w:leader="dot" w:pos="9060"/>
            </w:tabs>
            <w:rPr>
              <w:rFonts w:asciiTheme="minorHAnsi" w:eastAsiaTheme="minorEastAsia" w:hAnsiTheme="minorHAnsi"/>
              <w:noProof/>
              <w:lang w:val="en-GB" w:eastAsia="en-GB"/>
            </w:rPr>
          </w:pPr>
          <w:hyperlink w:anchor="_Toc482357200" w:history="1">
            <w:r w:rsidR="00324484" w:rsidRPr="00B4645F">
              <w:rPr>
                <w:rStyle w:val="Hyperlink"/>
                <w:noProof/>
                <w:lang w:eastAsia="en-AU"/>
              </w:rPr>
              <w:t>4</w:t>
            </w:r>
            <w:r w:rsidR="00324484">
              <w:rPr>
                <w:rFonts w:asciiTheme="minorHAnsi" w:eastAsiaTheme="minorEastAsia" w:hAnsiTheme="minorHAnsi"/>
                <w:noProof/>
                <w:lang w:val="en-GB" w:eastAsia="en-GB"/>
              </w:rPr>
              <w:tab/>
            </w:r>
            <w:r w:rsidR="00324484" w:rsidRPr="00B4645F">
              <w:rPr>
                <w:rStyle w:val="Hyperlink"/>
                <w:noProof/>
                <w:lang w:eastAsia="en-AU"/>
              </w:rPr>
              <w:t>Government Implementation Cost Framework</w:t>
            </w:r>
            <w:r w:rsidR="00324484">
              <w:rPr>
                <w:noProof/>
                <w:webHidden/>
              </w:rPr>
              <w:tab/>
            </w:r>
            <w:r w:rsidR="00324484">
              <w:rPr>
                <w:noProof/>
                <w:webHidden/>
              </w:rPr>
              <w:fldChar w:fldCharType="begin"/>
            </w:r>
            <w:r w:rsidR="00324484">
              <w:rPr>
                <w:noProof/>
                <w:webHidden/>
              </w:rPr>
              <w:instrText xml:space="preserve"> PAGEREF _Toc482357200 \h </w:instrText>
            </w:r>
            <w:r w:rsidR="00324484">
              <w:rPr>
                <w:noProof/>
                <w:webHidden/>
              </w:rPr>
            </w:r>
            <w:r w:rsidR="00324484">
              <w:rPr>
                <w:noProof/>
                <w:webHidden/>
              </w:rPr>
              <w:fldChar w:fldCharType="separate"/>
            </w:r>
            <w:r w:rsidR="00324484">
              <w:rPr>
                <w:noProof/>
                <w:webHidden/>
              </w:rPr>
              <w:t>16</w:t>
            </w:r>
            <w:r w:rsidR="00324484">
              <w:rPr>
                <w:noProof/>
                <w:webHidden/>
              </w:rPr>
              <w:fldChar w:fldCharType="end"/>
            </w:r>
          </w:hyperlink>
        </w:p>
        <w:p w14:paraId="5AFD7907" w14:textId="77777777" w:rsidR="00324484" w:rsidRDefault="00CC4EA3">
          <w:pPr>
            <w:pStyle w:val="TOC2"/>
            <w:tabs>
              <w:tab w:val="left" w:pos="880"/>
              <w:tab w:val="right" w:leader="dot" w:pos="9060"/>
            </w:tabs>
            <w:rPr>
              <w:rFonts w:asciiTheme="minorHAnsi" w:eastAsiaTheme="minorEastAsia" w:hAnsiTheme="minorHAnsi"/>
              <w:noProof/>
              <w:lang w:val="en-GB" w:eastAsia="en-GB"/>
            </w:rPr>
          </w:pPr>
          <w:hyperlink w:anchor="_Toc482357201" w:history="1">
            <w:r w:rsidR="00324484" w:rsidRPr="00B4645F">
              <w:rPr>
                <w:rStyle w:val="Hyperlink"/>
                <w:noProof/>
              </w:rPr>
              <w:t>4.1</w:t>
            </w:r>
            <w:r w:rsidR="00324484">
              <w:rPr>
                <w:rFonts w:asciiTheme="minorHAnsi" w:eastAsiaTheme="minorEastAsia" w:hAnsiTheme="minorHAnsi"/>
                <w:noProof/>
                <w:lang w:val="en-GB" w:eastAsia="en-GB"/>
              </w:rPr>
              <w:tab/>
            </w:r>
            <w:r w:rsidR="00324484" w:rsidRPr="00B4645F">
              <w:rPr>
                <w:rStyle w:val="Hyperlink"/>
                <w:noProof/>
              </w:rPr>
              <w:t>Materiality decision tool</w:t>
            </w:r>
            <w:r w:rsidR="00324484">
              <w:rPr>
                <w:noProof/>
                <w:webHidden/>
              </w:rPr>
              <w:tab/>
            </w:r>
            <w:r w:rsidR="00324484">
              <w:rPr>
                <w:noProof/>
                <w:webHidden/>
              </w:rPr>
              <w:fldChar w:fldCharType="begin"/>
            </w:r>
            <w:r w:rsidR="00324484">
              <w:rPr>
                <w:noProof/>
                <w:webHidden/>
              </w:rPr>
              <w:instrText xml:space="preserve"> PAGEREF _Toc482357201 \h </w:instrText>
            </w:r>
            <w:r w:rsidR="00324484">
              <w:rPr>
                <w:noProof/>
                <w:webHidden/>
              </w:rPr>
            </w:r>
            <w:r w:rsidR="00324484">
              <w:rPr>
                <w:noProof/>
                <w:webHidden/>
              </w:rPr>
              <w:fldChar w:fldCharType="separate"/>
            </w:r>
            <w:r w:rsidR="00324484">
              <w:rPr>
                <w:noProof/>
                <w:webHidden/>
              </w:rPr>
              <w:t>17</w:t>
            </w:r>
            <w:r w:rsidR="00324484">
              <w:rPr>
                <w:noProof/>
                <w:webHidden/>
              </w:rPr>
              <w:fldChar w:fldCharType="end"/>
            </w:r>
          </w:hyperlink>
        </w:p>
        <w:p w14:paraId="4918E38D" w14:textId="77777777" w:rsidR="00324484" w:rsidRDefault="00CC4EA3">
          <w:pPr>
            <w:pStyle w:val="TOC2"/>
            <w:tabs>
              <w:tab w:val="left" w:pos="880"/>
              <w:tab w:val="right" w:leader="dot" w:pos="9060"/>
            </w:tabs>
            <w:rPr>
              <w:rFonts w:asciiTheme="minorHAnsi" w:eastAsiaTheme="minorEastAsia" w:hAnsiTheme="minorHAnsi"/>
              <w:noProof/>
              <w:lang w:val="en-GB" w:eastAsia="en-GB"/>
            </w:rPr>
          </w:pPr>
          <w:hyperlink w:anchor="_Toc482357202" w:history="1">
            <w:r w:rsidR="00324484" w:rsidRPr="00B4645F">
              <w:rPr>
                <w:rStyle w:val="Hyperlink"/>
                <w:noProof/>
              </w:rPr>
              <w:t>4.2</w:t>
            </w:r>
            <w:r w:rsidR="00324484">
              <w:rPr>
                <w:rFonts w:asciiTheme="minorHAnsi" w:eastAsiaTheme="minorEastAsia" w:hAnsiTheme="minorHAnsi"/>
                <w:noProof/>
                <w:lang w:val="en-GB" w:eastAsia="en-GB"/>
              </w:rPr>
              <w:tab/>
            </w:r>
            <w:r w:rsidR="00324484" w:rsidRPr="00B4645F">
              <w:rPr>
                <w:rStyle w:val="Hyperlink"/>
                <w:noProof/>
              </w:rPr>
              <w:t>Costing tool</w:t>
            </w:r>
            <w:r w:rsidR="00324484">
              <w:rPr>
                <w:noProof/>
                <w:webHidden/>
              </w:rPr>
              <w:tab/>
            </w:r>
            <w:r w:rsidR="00324484">
              <w:rPr>
                <w:noProof/>
                <w:webHidden/>
              </w:rPr>
              <w:fldChar w:fldCharType="begin"/>
            </w:r>
            <w:r w:rsidR="00324484">
              <w:rPr>
                <w:noProof/>
                <w:webHidden/>
              </w:rPr>
              <w:instrText xml:space="preserve"> PAGEREF _Toc482357202 \h </w:instrText>
            </w:r>
            <w:r w:rsidR="00324484">
              <w:rPr>
                <w:noProof/>
                <w:webHidden/>
              </w:rPr>
            </w:r>
            <w:r w:rsidR="00324484">
              <w:rPr>
                <w:noProof/>
                <w:webHidden/>
              </w:rPr>
              <w:fldChar w:fldCharType="separate"/>
            </w:r>
            <w:r w:rsidR="00324484">
              <w:rPr>
                <w:noProof/>
                <w:webHidden/>
              </w:rPr>
              <w:t>22</w:t>
            </w:r>
            <w:r w:rsidR="00324484">
              <w:rPr>
                <w:noProof/>
                <w:webHidden/>
              </w:rPr>
              <w:fldChar w:fldCharType="end"/>
            </w:r>
          </w:hyperlink>
        </w:p>
        <w:p w14:paraId="5ADE622D" w14:textId="77777777" w:rsidR="00324484" w:rsidRDefault="00CC4EA3">
          <w:pPr>
            <w:pStyle w:val="TOC3"/>
            <w:tabs>
              <w:tab w:val="left" w:pos="1320"/>
              <w:tab w:val="right" w:leader="dot" w:pos="9060"/>
            </w:tabs>
            <w:rPr>
              <w:rFonts w:asciiTheme="minorHAnsi" w:eastAsiaTheme="minorEastAsia" w:hAnsiTheme="minorHAnsi"/>
              <w:noProof/>
              <w:lang w:val="en-GB" w:eastAsia="en-GB"/>
            </w:rPr>
          </w:pPr>
          <w:hyperlink w:anchor="_Toc482357203" w:history="1">
            <w:r w:rsidR="00324484" w:rsidRPr="00B4645F">
              <w:rPr>
                <w:rStyle w:val="Hyperlink"/>
                <w:noProof/>
              </w:rPr>
              <w:t>4.2.1</w:t>
            </w:r>
            <w:r w:rsidR="00324484">
              <w:rPr>
                <w:rFonts w:asciiTheme="minorHAnsi" w:eastAsiaTheme="minorEastAsia" w:hAnsiTheme="minorHAnsi"/>
                <w:noProof/>
                <w:lang w:val="en-GB" w:eastAsia="en-GB"/>
              </w:rPr>
              <w:tab/>
            </w:r>
            <w:r w:rsidR="00324484" w:rsidRPr="00B4645F">
              <w:rPr>
                <w:rStyle w:val="Hyperlink"/>
                <w:noProof/>
              </w:rPr>
              <w:t>The process of using the costing tool in the RIS structure</w:t>
            </w:r>
            <w:r w:rsidR="00324484">
              <w:rPr>
                <w:noProof/>
                <w:webHidden/>
              </w:rPr>
              <w:tab/>
            </w:r>
            <w:r w:rsidR="00324484">
              <w:rPr>
                <w:noProof/>
                <w:webHidden/>
              </w:rPr>
              <w:fldChar w:fldCharType="begin"/>
            </w:r>
            <w:r w:rsidR="00324484">
              <w:rPr>
                <w:noProof/>
                <w:webHidden/>
              </w:rPr>
              <w:instrText xml:space="preserve"> PAGEREF _Toc482357203 \h </w:instrText>
            </w:r>
            <w:r w:rsidR="00324484">
              <w:rPr>
                <w:noProof/>
                <w:webHidden/>
              </w:rPr>
            </w:r>
            <w:r w:rsidR="00324484">
              <w:rPr>
                <w:noProof/>
                <w:webHidden/>
              </w:rPr>
              <w:fldChar w:fldCharType="separate"/>
            </w:r>
            <w:r w:rsidR="00324484">
              <w:rPr>
                <w:noProof/>
                <w:webHidden/>
              </w:rPr>
              <w:t>23</w:t>
            </w:r>
            <w:r w:rsidR="00324484">
              <w:rPr>
                <w:noProof/>
                <w:webHidden/>
              </w:rPr>
              <w:fldChar w:fldCharType="end"/>
            </w:r>
          </w:hyperlink>
        </w:p>
        <w:p w14:paraId="20693CE7" w14:textId="77777777" w:rsidR="00324484" w:rsidRDefault="00CC4EA3">
          <w:pPr>
            <w:pStyle w:val="TOC3"/>
            <w:tabs>
              <w:tab w:val="left" w:pos="1320"/>
              <w:tab w:val="right" w:leader="dot" w:pos="9060"/>
            </w:tabs>
            <w:rPr>
              <w:rFonts w:asciiTheme="minorHAnsi" w:eastAsiaTheme="minorEastAsia" w:hAnsiTheme="minorHAnsi"/>
              <w:noProof/>
              <w:lang w:val="en-GB" w:eastAsia="en-GB"/>
            </w:rPr>
          </w:pPr>
          <w:hyperlink w:anchor="_Toc482357204" w:history="1">
            <w:r w:rsidR="00324484" w:rsidRPr="00B4645F">
              <w:rPr>
                <w:rStyle w:val="Hyperlink"/>
                <w:noProof/>
                <w:lang w:val="en-GB"/>
              </w:rPr>
              <w:t>4.2.2</w:t>
            </w:r>
            <w:r w:rsidR="00324484">
              <w:rPr>
                <w:rFonts w:asciiTheme="minorHAnsi" w:eastAsiaTheme="minorEastAsia" w:hAnsiTheme="minorHAnsi"/>
                <w:noProof/>
                <w:lang w:val="en-GB" w:eastAsia="en-GB"/>
              </w:rPr>
              <w:tab/>
            </w:r>
            <w:r w:rsidR="00324484" w:rsidRPr="00B4645F">
              <w:rPr>
                <w:rStyle w:val="Hyperlink"/>
                <w:noProof/>
                <w:lang w:val="en-GB"/>
              </w:rPr>
              <w:t>Quantifying costs and benefits</w:t>
            </w:r>
            <w:r w:rsidR="00324484">
              <w:rPr>
                <w:noProof/>
                <w:webHidden/>
              </w:rPr>
              <w:tab/>
            </w:r>
            <w:r w:rsidR="00324484">
              <w:rPr>
                <w:noProof/>
                <w:webHidden/>
              </w:rPr>
              <w:fldChar w:fldCharType="begin"/>
            </w:r>
            <w:r w:rsidR="00324484">
              <w:rPr>
                <w:noProof/>
                <w:webHidden/>
              </w:rPr>
              <w:instrText xml:space="preserve"> PAGEREF _Toc482357204 \h </w:instrText>
            </w:r>
            <w:r w:rsidR="00324484">
              <w:rPr>
                <w:noProof/>
                <w:webHidden/>
              </w:rPr>
            </w:r>
            <w:r w:rsidR="00324484">
              <w:rPr>
                <w:noProof/>
                <w:webHidden/>
              </w:rPr>
              <w:fldChar w:fldCharType="separate"/>
            </w:r>
            <w:r w:rsidR="00324484">
              <w:rPr>
                <w:noProof/>
                <w:webHidden/>
              </w:rPr>
              <w:t>24</w:t>
            </w:r>
            <w:r w:rsidR="00324484">
              <w:rPr>
                <w:noProof/>
                <w:webHidden/>
              </w:rPr>
              <w:fldChar w:fldCharType="end"/>
            </w:r>
          </w:hyperlink>
        </w:p>
        <w:p w14:paraId="00523A9F" w14:textId="77777777" w:rsidR="00324484" w:rsidRDefault="00CC4EA3">
          <w:pPr>
            <w:pStyle w:val="TOC3"/>
            <w:tabs>
              <w:tab w:val="left" w:pos="1320"/>
              <w:tab w:val="right" w:leader="dot" w:pos="9060"/>
            </w:tabs>
            <w:rPr>
              <w:rFonts w:asciiTheme="minorHAnsi" w:eastAsiaTheme="minorEastAsia" w:hAnsiTheme="minorHAnsi"/>
              <w:noProof/>
              <w:lang w:val="en-GB" w:eastAsia="en-GB"/>
            </w:rPr>
          </w:pPr>
          <w:hyperlink w:anchor="_Toc482357205" w:history="1">
            <w:r w:rsidR="00324484" w:rsidRPr="00B4645F">
              <w:rPr>
                <w:rStyle w:val="Hyperlink"/>
                <w:noProof/>
              </w:rPr>
              <w:t>4.2.3</w:t>
            </w:r>
            <w:r w:rsidR="00324484">
              <w:rPr>
                <w:rFonts w:asciiTheme="minorHAnsi" w:eastAsiaTheme="minorEastAsia" w:hAnsiTheme="minorHAnsi"/>
                <w:noProof/>
                <w:lang w:val="en-GB" w:eastAsia="en-GB"/>
              </w:rPr>
              <w:tab/>
            </w:r>
            <w:r w:rsidR="00324484" w:rsidRPr="00B4645F">
              <w:rPr>
                <w:rStyle w:val="Hyperlink"/>
                <w:noProof/>
              </w:rPr>
              <w:t>Calculating net present value</w:t>
            </w:r>
            <w:r w:rsidR="00324484">
              <w:rPr>
                <w:noProof/>
                <w:webHidden/>
              </w:rPr>
              <w:tab/>
            </w:r>
            <w:r w:rsidR="00324484">
              <w:rPr>
                <w:noProof/>
                <w:webHidden/>
              </w:rPr>
              <w:fldChar w:fldCharType="begin"/>
            </w:r>
            <w:r w:rsidR="00324484">
              <w:rPr>
                <w:noProof/>
                <w:webHidden/>
              </w:rPr>
              <w:instrText xml:space="preserve"> PAGEREF _Toc482357205 \h </w:instrText>
            </w:r>
            <w:r w:rsidR="00324484">
              <w:rPr>
                <w:noProof/>
                <w:webHidden/>
              </w:rPr>
            </w:r>
            <w:r w:rsidR="00324484">
              <w:rPr>
                <w:noProof/>
                <w:webHidden/>
              </w:rPr>
              <w:fldChar w:fldCharType="separate"/>
            </w:r>
            <w:r w:rsidR="00324484">
              <w:rPr>
                <w:noProof/>
                <w:webHidden/>
              </w:rPr>
              <w:t>26</w:t>
            </w:r>
            <w:r w:rsidR="00324484">
              <w:rPr>
                <w:noProof/>
                <w:webHidden/>
              </w:rPr>
              <w:fldChar w:fldCharType="end"/>
            </w:r>
          </w:hyperlink>
        </w:p>
        <w:p w14:paraId="6D9F8AEC" w14:textId="77777777" w:rsidR="00324484" w:rsidRDefault="00CC4EA3">
          <w:pPr>
            <w:pStyle w:val="TOC2"/>
            <w:tabs>
              <w:tab w:val="left" w:pos="880"/>
              <w:tab w:val="right" w:leader="dot" w:pos="9060"/>
            </w:tabs>
            <w:rPr>
              <w:rFonts w:asciiTheme="minorHAnsi" w:eastAsiaTheme="minorEastAsia" w:hAnsiTheme="minorHAnsi"/>
              <w:noProof/>
              <w:lang w:val="en-GB" w:eastAsia="en-GB"/>
            </w:rPr>
          </w:pPr>
          <w:hyperlink w:anchor="_Toc482357206" w:history="1">
            <w:r w:rsidR="00324484" w:rsidRPr="00B4645F">
              <w:rPr>
                <w:rStyle w:val="Hyperlink"/>
                <w:noProof/>
              </w:rPr>
              <w:t>4.3</w:t>
            </w:r>
            <w:r w:rsidR="00324484">
              <w:rPr>
                <w:rFonts w:asciiTheme="minorHAnsi" w:eastAsiaTheme="minorEastAsia" w:hAnsiTheme="minorHAnsi"/>
                <w:noProof/>
                <w:lang w:val="en-GB" w:eastAsia="en-GB"/>
              </w:rPr>
              <w:tab/>
            </w:r>
            <w:r w:rsidR="00324484" w:rsidRPr="00B4645F">
              <w:rPr>
                <w:rStyle w:val="Hyperlink"/>
                <w:noProof/>
              </w:rPr>
              <w:t>Engaging with agencies on-costs</w:t>
            </w:r>
            <w:r w:rsidR="00324484">
              <w:rPr>
                <w:noProof/>
                <w:webHidden/>
              </w:rPr>
              <w:tab/>
            </w:r>
            <w:r w:rsidR="00324484">
              <w:rPr>
                <w:noProof/>
                <w:webHidden/>
              </w:rPr>
              <w:fldChar w:fldCharType="begin"/>
            </w:r>
            <w:r w:rsidR="00324484">
              <w:rPr>
                <w:noProof/>
                <w:webHidden/>
              </w:rPr>
              <w:instrText xml:space="preserve"> PAGEREF _Toc482357206 \h </w:instrText>
            </w:r>
            <w:r w:rsidR="00324484">
              <w:rPr>
                <w:noProof/>
                <w:webHidden/>
              </w:rPr>
            </w:r>
            <w:r w:rsidR="00324484">
              <w:rPr>
                <w:noProof/>
                <w:webHidden/>
              </w:rPr>
              <w:fldChar w:fldCharType="separate"/>
            </w:r>
            <w:r w:rsidR="00324484">
              <w:rPr>
                <w:noProof/>
                <w:webHidden/>
              </w:rPr>
              <w:t>26</w:t>
            </w:r>
            <w:r w:rsidR="00324484">
              <w:rPr>
                <w:noProof/>
                <w:webHidden/>
              </w:rPr>
              <w:fldChar w:fldCharType="end"/>
            </w:r>
          </w:hyperlink>
        </w:p>
        <w:p w14:paraId="1CA1838A" w14:textId="77777777" w:rsidR="00324484" w:rsidRDefault="00CC4EA3">
          <w:pPr>
            <w:pStyle w:val="TOC1"/>
            <w:tabs>
              <w:tab w:val="left" w:pos="440"/>
              <w:tab w:val="right" w:leader="dot" w:pos="9060"/>
            </w:tabs>
            <w:rPr>
              <w:rFonts w:asciiTheme="minorHAnsi" w:eastAsiaTheme="minorEastAsia" w:hAnsiTheme="minorHAnsi"/>
              <w:noProof/>
              <w:lang w:val="en-GB" w:eastAsia="en-GB"/>
            </w:rPr>
          </w:pPr>
          <w:hyperlink w:anchor="_Toc482357207" w:history="1">
            <w:r w:rsidR="00324484" w:rsidRPr="00B4645F">
              <w:rPr>
                <w:rStyle w:val="Hyperlink"/>
                <w:noProof/>
              </w:rPr>
              <w:t>5</w:t>
            </w:r>
            <w:r w:rsidR="00324484">
              <w:rPr>
                <w:rFonts w:asciiTheme="minorHAnsi" w:eastAsiaTheme="minorEastAsia" w:hAnsiTheme="minorHAnsi"/>
                <w:noProof/>
                <w:lang w:val="en-GB" w:eastAsia="en-GB"/>
              </w:rPr>
              <w:tab/>
            </w:r>
            <w:r w:rsidR="00324484" w:rsidRPr="00B4645F">
              <w:rPr>
                <w:rStyle w:val="Hyperlink"/>
                <w:noProof/>
              </w:rPr>
              <w:t>Possible next steps</w:t>
            </w:r>
            <w:r w:rsidR="00324484">
              <w:rPr>
                <w:noProof/>
                <w:webHidden/>
              </w:rPr>
              <w:tab/>
            </w:r>
            <w:r w:rsidR="00324484">
              <w:rPr>
                <w:noProof/>
                <w:webHidden/>
              </w:rPr>
              <w:fldChar w:fldCharType="begin"/>
            </w:r>
            <w:r w:rsidR="00324484">
              <w:rPr>
                <w:noProof/>
                <w:webHidden/>
              </w:rPr>
              <w:instrText xml:space="preserve"> PAGEREF _Toc482357207 \h </w:instrText>
            </w:r>
            <w:r w:rsidR="00324484">
              <w:rPr>
                <w:noProof/>
                <w:webHidden/>
              </w:rPr>
            </w:r>
            <w:r w:rsidR="00324484">
              <w:rPr>
                <w:noProof/>
                <w:webHidden/>
              </w:rPr>
              <w:fldChar w:fldCharType="separate"/>
            </w:r>
            <w:r w:rsidR="00324484">
              <w:rPr>
                <w:noProof/>
                <w:webHidden/>
              </w:rPr>
              <w:t>27</w:t>
            </w:r>
            <w:r w:rsidR="00324484">
              <w:rPr>
                <w:noProof/>
                <w:webHidden/>
              </w:rPr>
              <w:fldChar w:fldCharType="end"/>
            </w:r>
          </w:hyperlink>
        </w:p>
        <w:p w14:paraId="7B3FF3F6" w14:textId="77777777" w:rsidR="00324484" w:rsidRDefault="00CC4EA3">
          <w:pPr>
            <w:pStyle w:val="TOC1"/>
            <w:tabs>
              <w:tab w:val="left" w:pos="440"/>
              <w:tab w:val="right" w:leader="dot" w:pos="9060"/>
            </w:tabs>
            <w:rPr>
              <w:rFonts w:asciiTheme="minorHAnsi" w:eastAsiaTheme="minorEastAsia" w:hAnsiTheme="minorHAnsi"/>
              <w:noProof/>
              <w:lang w:val="en-GB" w:eastAsia="en-GB"/>
            </w:rPr>
          </w:pPr>
          <w:hyperlink w:anchor="_Toc482357208" w:history="1">
            <w:r w:rsidR="00324484" w:rsidRPr="00B4645F">
              <w:rPr>
                <w:rStyle w:val="Hyperlink"/>
                <w:noProof/>
              </w:rPr>
              <w:t>6</w:t>
            </w:r>
            <w:r w:rsidR="00324484">
              <w:rPr>
                <w:rFonts w:asciiTheme="minorHAnsi" w:eastAsiaTheme="minorEastAsia" w:hAnsiTheme="minorHAnsi"/>
                <w:noProof/>
                <w:lang w:val="en-GB" w:eastAsia="en-GB"/>
              </w:rPr>
              <w:tab/>
            </w:r>
            <w:r w:rsidR="00324484" w:rsidRPr="00B4645F">
              <w:rPr>
                <w:rStyle w:val="Hyperlink"/>
                <w:noProof/>
              </w:rPr>
              <w:t>Conclusions</w:t>
            </w:r>
            <w:r w:rsidR="00324484">
              <w:rPr>
                <w:noProof/>
                <w:webHidden/>
              </w:rPr>
              <w:tab/>
            </w:r>
            <w:r w:rsidR="00324484">
              <w:rPr>
                <w:noProof/>
                <w:webHidden/>
              </w:rPr>
              <w:fldChar w:fldCharType="begin"/>
            </w:r>
            <w:r w:rsidR="00324484">
              <w:rPr>
                <w:noProof/>
                <w:webHidden/>
              </w:rPr>
              <w:instrText xml:space="preserve"> PAGEREF _Toc482357208 \h </w:instrText>
            </w:r>
            <w:r w:rsidR="00324484">
              <w:rPr>
                <w:noProof/>
                <w:webHidden/>
              </w:rPr>
            </w:r>
            <w:r w:rsidR="00324484">
              <w:rPr>
                <w:noProof/>
                <w:webHidden/>
              </w:rPr>
              <w:fldChar w:fldCharType="separate"/>
            </w:r>
            <w:r w:rsidR="00324484">
              <w:rPr>
                <w:noProof/>
                <w:webHidden/>
              </w:rPr>
              <w:t>27</w:t>
            </w:r>
            <w:r w:rsidR="00324484">
              <w:rPr>
                <w:noProof/>
                <w:webHidden/>
              </w:rPr>
              <w:fldChar w:fldCharType="end"/>
            </w:r>
          </w:hyperlink>
        </w:p>
        <w:p w14:paraId="5F7F125C" w14:textId="77777777" w:rsidR="00324484" w:rsidRDefault="00CC4EA3">
          <w:pPr>
            <w:pStyle w:val="TOC1"/>
            <w:tabs>
              <w:tab w:val="left" w:pos="440"/>
              <w:tab w:val="right" w:leader="dot" w:pos="9060"/>
            </w:tabs>
            <w:rPr>
              <w:rFonts w:asciiTheme="minorHAnsi" w:eastAsiaTheme="minorEastAsia" w:hAnsiTheme="minorHAnsi"/>
              <w:noProof/>
              <w:lang w:val="en-GB" w:eastAsia="en-GB"/>
            </w:rPr>
          </w:pPr>
          <w:hyperlink w:anchor="_Toc482357209" w:history="1">
            <w:r w:rsidR="00324484" w:rsidRPr="00B4645F">
              <w:rPr>
                <w:rStyle w:val="Hyperlink"/>
                <w:noProof/>
              </w:rPr>
              <w:t>7</w:t>
            </w:r>
            <w:r w:rsidR="00324484">
              <w:rPr>
                <w:rFonts w:asciiTheme="minorHAnsi" w:eastAsiaTheme="minorEastAsia" w:hAnsiTheme="minorHAnsi"/>
                <w:noProof/>
                <w:lang w:val="en-GB" w:eastAsia="en-GB"/>
              </w:rPr>
              <w:tab/>
            </w:r>
            <w:r w:rsidR="00324484" w:rsidRPr="00B4645F">
              <w:rPr>
                <w:rStyle w:val="Hyperlink"/>
                <w:noProof/>
                <w:lang w:eastAsia="en-AU"/>
              </w:rPr>
              <w:t xml:space="preserve">Appendix 1 – </w:t>
            </w:r>
            <w:r w:rsidR="00324484" w:rsidRPr="00B4645F">
              <w:rPr>
                <w:rStyle w:val="Hyperlink"/>
                <w:noProof/>
              </w:rPr>
              <w:t>Components of the cost</w:t>
            </w:r>
            <w:r w:rsidR="00324484" w:rsidRPr="00B4645F">
              <w:rPr>
                <w:rStyle w:val="Hyperlink"/>
                <w:noProof/>
              </w:rPr>
              <w:noBreakHyphen/>
              <w:t>benefit analysis</w:t>
            </w:r>
            <w:r w:rsidR="00324484">
              <w:rPr>
                <w:noProof/>
                <w:webHidden/>
              </w:rPr>
              <w:tab/>
            </w:r>
            <w:r w:rsidR="00324484">
              <w:rPr>
                <w:noProof/>
                <w:webHidden/>
              </w:rPr>
              <w:fldChar w:fldCharType="begin"/>
            </w:r>
            <w:r w:rsidR="00324484">
              <w:rPr>
                <w:noProof/>
                <w:webHidden/>
              </w:rPr>
              <w:instrText xml:space="preserve"> PAGEREF _Toc482357209 \h </w:instrText>
            </w:r>
            <w:r w:rsidR="00324484">
              <w:rPr>
                <w:noProof/>
                <w:webHidden/>
              </w:rPr>
            </w:r>
            <w:r w:rsidR="00324484">
              <w:rPr>
                <w:noProof/>
                <w:webHidden/>
              </w:rPr>
              <w:fldChar w:fldCharType="separate"/>
            </w:r>
            <w:r w:rsidR="00324484">
              <w:rPr>
                <w:noProof/>
                <w:webHidden/>
              </w:rPr>
              <w:t>28</w:t>
            </w:r>
            <w:r w:rsidR="00324484">
              <w:rPr>
                <w:noProof/>
                <w:webHidden/>
              </w:rPr>
              <w:fldChar w:fldCharType="end"/>
            </w:r>
          </w:hyperlink>
        </w:p>
        <w:p w14:paraId="28F04624" w14:textId="77777777" w:rsidR="00324484" w:rsidRDefault="00CC4EA3">
          <w:pPr>
            <w:pStyle w:val="TOC1"/>
            <w:tabs>
              <w:tab w:val="left" w:pos="440"/>
              <w:tab w:val="right" w:leader="dot" w:pos="9060"/>
            </w:tabs>
            <w:rPr>
              <w:rFonts w:asciiTheme="minorHAnsi" w:eastAsiaTheme="minorEastAsia" w:hAnsiTheme="minorHAnsi"/>
              <w:noProof/>
              <w:lang w:val="en-GB" w:eastAsia="en-GB"/>
            </w:rPr>
          </w:pPr>
          <w:hyperlink w:anchor="_Toc482357210" w:history="1">
            <w:r w:rsidR="00324484" w:rsidRPr="00B4645F">
              <w:rPr>
                <w:rStyle w:val="Hyperlink"/>
                <w:noProof/>
                <w:lang w:eastAsia="en-AU"/>
              </w:rPr>
              <w:t>8</w:t>
            </w:r>
            <w:r w:rsidR="00324484">
              <w:rPr>
                <w:rFonts w:asciiTheme="minorHAnsi" w:eastAsiaTheme="minorEastAsia" w:hAnsiTheme="minorHAnsi"/>
                <w:noProof/>
                <w:lang w:val="en-GB" w:eastAsia="en-GB"/>
              </w:rPr>
              <w:tab/>
            </w:r>
            <w:r w:rsidR="00324484" w:rsidRPr="00B4645F">
              <w:rPr>
                <w:rStyle w:val="Hyperlink"/>
                <w:noProof/>
                <w:lang w:eastAsia="en-AU"/>
              </w:rPr>
              <w:t>Appendix 2 – Australian and New Zealand Regulatory Agencies</w:t>
            </w:r>
            <w:r w:rsidR="00324484">
              <w:rPr>
                <w:noProof/>
                <w:webHidden/>
              </w:rPr>
              <w:tab/>
            </w:r>
            <w:r w:rsidR="00324484">
              <w:rPr>
                <w:noProof/>
                <w:webHidden/>
              </w:rPr>
              <w:fldChar w:fldCharType="begin"/>
            </w:r>
            <w:r w:rsidR="00324484">
              <w:rPr>
                <w:noProof/>
                <w:webHidden/>
              </w:rPr>
              <w:instrText xml:space="preserve"> PAGEREF _Toc482357210 \h </w:instrText>
            </w:r>
            <w:r w:rsidR="00324484">
              <w:rPr>
                <w:noProof/>
                <w:webHidden/>
              </w:rPr>
            </w:r>
            <w:r w:rsidR="00324484">
              <w:rPr>
                <w:noProof/>
                <w:webHidden/>
              </w:rPr>
              <w:fldChar w:fldCharType="separate"/>
            </w:r>
            <w:r w:rsidR="00324484">
              <w:rPr>
                <w:noProof/>
                <w:webHidden/>
              </w:rPr>
              <w:t>30</w:t>
            </w:r>
            <w:r w:rsidR="00324484">
              <w:rPr>
                <w:noProof/>
                <w:webHidden/>
              </w:rPr>
              <w:fldChar w:fldCharType="end"/>
            </w:r>
          </w:hyperlink>
        </w:p>
        <w:p w14:paraId="24BF8A14" w14:textId="77777777" w:rsidR="00324484" w:rsidRDefault="00CC4EA3">
          <w:pPr>
            <w:pStyle w:val="TOC1"/>
            <w:tabs>
              <w:tab w:val="left" w:pos="440"/>
              <w:tab w:val="right" w:leader="dot" w:pos="9060"/>
            </w:tabs>
            <w:rPr>
              <w:rFonts w:asciiTheme="minorHAnsi" w:eastAsiaTheme="minorEastAsia" w:hAnsiTheme="minorHAnsi"/>
              <w:noProof/>
              <w:lang w:val="en-GB" w:eastAsia="en-GB"/>
            </w:rPr>
          </w:pPr>
          <w:hyperlink w:anchor="_Toc482357211" w:history="1">
            <w:r w:rsidR="00324484" w:rsidRPr="00B4645F">
              <w:rPr>
                <w:rStyle w:val="Hyperlink"/>
                <w:noProof/>
                <w:lang w:eastAsia="en-AU"/>
              </w:rPr>
              <w:t>9</w:t>
            </w:r>
            <w:r w:rsidR="00324484">
              <w:rPr>
                <w:rFonts w:asciiTheme="minorHAnsi" w:eastAsiaTheme="minorEastAsia" w:hAnsiTheme="minorHAnsi"/>
                <w:noProof/>
                <w:lang w:val="en-GB" w:eastAsia="en-GB"/>
              </w:rPr>
              <w:tab/>
            </w:r>
            <w:r w:rsidR="00324484" w:rsidRPr="00B4645F">
              <w:rPr>
                <w:rStyle w:val="Hyperlink"/>
                <w:noProof/>
                <w:lang w:eastAsia="en-AU"/>
              </w:rPr>
              <w:t>Appendix 3 – Survey Participants</w:t>
            </w:r>
            <w:r w:rsidR="00324484">
              <w:rPr>
                <w:noProof/>
                <w:webHidden/>
              </w:rPr>
              <w:tab/>
            </w:r>
            <w:r w:rsidR="00324484">
              <w:rPr>
                <w:noProof/>
                <w:webHidden/>
              </w:rPr>
              <w:fldChar w:fldCharType="begin"/>
            </w:r>
            <w:r w:rsidR="00324484">
              <w:rPr>
                <w:noProof/>
                <w:webHidden/>
              </w:rPr>
              <w:instrText xml:space="preserve"> PAGEREF _Toc482357211 \h </w:instrText>
            </w:r>
            <w:r w:rsidR="00324484">
              <w:rPr>
                <w:noProof/>
                <w:webHidden/>
              </w:rPr>
            </w:r>
            <w:r w:rsidR="00324484">
              <w:rPr>
                <w:noProof/>
                <w:webHidden/>
              </w:rPr>
              <w:fldChar w:fldCharType="separate"/>
            </w:r>
            <w:r w:rsidR="00324484">
              <w:rPr>
                <w:noProof/>
                <w:webHidden/>
              </w:rPr>
              <w:t>32</w:t>
            </w:r>
            <w:r w:rsidR="00324484">
              <w:rPr>
                <w:noProof/>
                <w:webHidden/>
              </w:rPr>
              <w:fldChar w:fldCharType="end"/>
            </w:r>
          </w:hyperlink>
        </w:p>
        <w:p w14:paraId="6320E12D" w14:textId="77777777" w:rsidR="00324484" w:rsidRDefault="00CC4EA3">
          <w:pPr>
            <w:pStyle w:val="TOC1"/>
            <w:tabs>
              <w:tab w:val="left" w:pos="660"/>
              <w:tab w:val="right" w:leader="dot" w:pos="9060"/>
            </w:tabs>
            <w:rPr>
              <w:rFonts w:asciiTheme="minorHAnsi" w:eastAsiaTheme="minorEastAsia" w:hAnsiTheme="minorHAnsi"/>
              <w:noProof/>
              <w:lang w:val="en-GB" w:eastAsia="en-GB"/>
            </w:rPr>
          </w:pPr>
          <w:hyperlink w:anchor="_Toc482357212" w:history="1">
            <w:r w:rsidR="00324484" w:rsidRPr="00B4645F">
              <w:rPr>
                <w:rStyle w:val="Hyperlink"/>
                <w:noProof/>
                <w:lang w:eastAsia="en-AU"/>
              </w:rPr>
              <w:t>10</w:t>
            </w:r>
            <w:r w:rsidR="00324484">
              <w:rPr>
                <w:rFonts w:asciiTheme="minorHAnsi" w:eastAsiaTheme="minorEastAsia" w:hAnsiTheme="minorHAnsi"/>
                <w:noProof/>
                <w:lang w:val="en-GB" w:eastAsia="en-GB"/>
              </w:rPr>
              <w:tab/>
            </w:r>
            <w:r w:rsidR="00324484" w:rsidRPr="00B4645F">
              <w:rPr>
                <w:rStyle w:val="Hyperlink"/>
                <w:noProof/>
                <w:lang w:eastAsia="en-AU"/>
              </w:rPr>
              <w:t>Appendix 4 – Quantifying jurisdictions’ costs</w:t>
            </w:r>
            <w:r w:rsidR="00324484">
              <w:rPr>
                <w:noProof/>
                <w:webHidden/>
              </w:rPr>
              <w:tab/>
            </w:r>
            <w:r w:rsidR="00324484">
              <w:rPr>
                <w:noProof/>
                <w:webHidden/>
              </w:rPr>
              <w:fldChar w:fldCharType="begin"/>
            </w:r>
            <w:r w:rsidR="00324484">
              <w:rPr>
                <w:noProof/>
                <w:webHidden/>
              </w:rPr>
              <w:instrText xml:space="preserve"> PAGEREF _Toc482357212 \h </w:instrText>
            </w:r>
            <w:r w:rsidR="00324484">
              <w:rPr>
                <w:noProof/>
                <w:webHidden/>
              </w:rPr>
            </w:r>
            <w:r w:rsidR="00324484">
              <w:rPr>
                <w:noProof/>
                <w:webHidden/>
              </w:rPr>
              <w:fldChar w:fldCharType="separate"/>
            </w:r>
            <w:r w:rsidR="00324484">
              <w:rPr>
                <w:noProof/>
                <w:webHidden/>
              </w:rPr>
              <w:t>33</w:t>
            </w:r>
            <w:r w:rsidR="00324484">
              <w:rPr>
                <w:noProof/>
                <w:webHidden/>
              </w:rPr>
              <w:fldChar w:fldCharType="end"/>
            </w:r>
          </w:hyperlink>
        </w:p>
        <w:p w14:paraId="7F6B7939" w14:textId="77777777" w:rsidR="00324484" w:rsidRDefault="00CC4EA3">
          <w:pPr>
            <w:pStyle w:val="TOC2"/>
            <w:tabs>
              <w:tab w:val="left" w:pos="880"/>
              <w:tab w:val="right" w:leader="dot" w:pos="9060"/>
            </w:tabs>
            <w:rPr>
              <w:rFonts w:asciiTheme="minorHAnsi" w:eastAsiaTheme="minorEastAsia" w:hAnsiTheme="minorHAnsi"/>
              <w:noProof/>
              <w:lang w:val="en-GB" w:eastAsia="en-GB"/>
            </w:rPr>
          </w:pPr>
          <w:hyperlink w:anchor="_Toc482357213" w:history="1">
            <w:r w:rsidR="00324484" w:rsidRPr="00B4645F">
              <w:rPr>
                <w:rStyle w:val="Hyperlink"/>
                <w:noProof/>
              </w:rPr>
              <w:t>10.1</w:t>
            </w:r>
            <w:r w:rsidR="00324484">
              <w:rPr>
                <w:rFonts w:asciiTheme="minorHAnsi" w:eastAsiaTheme="minorEastAsia" w:hAnsiTheme="minorHAnsi"/>
                <w:noProof/>
                <w:lang w:val="en-GB" w:eastAsia="en-GB"/>
              </w:rPr>
              <w:tab/>
            </w:r>
            <w:r w:rsidR="00324484" w:rsidRPr="00B4645F">
              <w:rPr>
                <w:rStyle w:val="Hyperlink"/>
                <w:noProof/>
              </w:rPr>
              <w:t>Example 1; small review of existing standard</w:t>
            </w:r>
            <w:r w:rsidR="00324484">
              <w:rPr>
                <w:noProof/>
                <w:webHidden/>
              </w:rPr>
              <w:tab/>
            </w:r>
            <w:r w:rsidR="00324484">
              <w:rPr>
                <w:noProof/>
                <w:webHidden/>
              </w:rPr>
              <w:fldChar w:fldCharType="begin"/>
            </w:r>
            <w:r w:rsidR="00324484">
              <w:rPr>
                <w:noProof/>
                <w:webHidden/>
              </w:rPr>
              <w:instrText xml:space="preserve"> PAGEREF _Toc482357213 \h </w:instrText>
            </w:r>
            <w:r w:rsidR="00324484">
              <w:rPr>
                <w:noProof/>
                <w:webHidden/>
              </w:rPr>
            </w:r>
            <w:r w:rsidR="00324484">
              <w:rPr>
                <w:noProof/>
                <w:webHidden/>
              </w:rPr>
              <w:fldChar w:fldCharType="separate"/>
            </w:r>
            <w:r w:rsidR="00324484">
              <w:rPr>
                <w:noProof/>
                <w:webHidden/>
              </w:rPr>
              <w:t>33</w:t>
            </w:r>
            <w:r w:rsidR="00324484">
              <w:rPr>
                <w:noProof/>
                <w:webHidden/>
              </w:rPr>
              <w:fldChar w:fldCharType="end"/>
            </w:r>
          </w:hyperlink>
        </w:p>
        <w:p w14:paraId="591685E7" w14:textId="77777777" w:rsidR="00324484" w:rsidRDefault="00CC4EA3">
          <w:pPr>
            <w:pStyle w:val="TOC2"/>
            <w:tabs>
              <w:tab w:val="left" w:pos="880"/>
              <w:tab w:val="right" w:leader="dot" w:pos="9060"/>
            </w:tabs>
            <w:rPr>
              <w:rFonts w:asciiTheme="minorHAnsi" w:eastAsiaTheme="minorEastAsia" w:hAnsiTheme="minorHAnsi"/>
              <w:noProof/>
              <w:lang w:val="en-GB" w:eastAsia="en-GB"/>
            </w:rPr>
          </w:pPr>
          <w:hyperlink w:anchor="_Toc482357214" w:history="1">
            <w:r w:rsidR="00324484" w:rsidRPr="00B4645F">
              <w:rPr>
                <w:rStyle w:val="Hyperlink"/>
                <w:noProof/>
              </w:rPr>
              <w:t>10.2</w:t>
            </w:r>
            <w:r w:rsidR="00324484">
              <w:rPr>
                <w:rFonts w:asciiTheme="minorHAnsi" w:eastAsiaTheme="minorEastAsia" w:hAnsiTheme="minorHAnsi"/>
                <w:noProof/>
                <w:lang w:val="en-GB" w:eastAsia="en-GB"/>
              </w:rPr>
              <w:tab/>
            </w:r>
            <w:r w:rsidR="00324484" w:rsidRPr="00B4645F">
              <w:rPr>
                <w:rStyle w:val="Hyperlink"/>
                <w:noProof/>
              </w:rPr>
              <w:t>Example 2; new standard</w:t>
            </w:r>
            <w:r w:rsidR="00324484">
              <w:rPr>
                <w:noProof/>
                <w:webHidden/>
              </w:rPr>
              <w:tab/>
            </w:r>
            <w:r w:rsidR="00324484">
              <w:rPr>
                <w:noProof/>
                <w:webHidden/>
              </w:rPr>
              <w:fldChar w:fldCharType="begin"/>
            </w:r>
            <w:r w:rsidR="00324484">
              <w:rPr>
                <w:noProof/>
                <w:webHidden/>
              </w:rPr>
              <w:instrText xml:space="preserve"> PAGEREF _Toc482357214 \h </w:instrText>
            </w:r>
            <w:r w:rsidR="00324484">
              <w:rPr>
                <w:noProof/>
                <w:webHidden/>
              </w:rPr>
            </w:r>
            <w:r w:rsidR="00324484">
              <w:rPr>
                <w:noProof/>
                <w:webHidden/>
              </w:rPr>
              <w:fldChar w:fldCharType="separate"/>
            </w:r>
            <w:r w:rsidR="00324484">
              <w:rPr>
                <w:noProof/>
                <w:webHidden/>
              </w:rPr>
              <w:t>35</w:t>
            </w:r>
            <w:r w:rsidR="00324484">
              <w:rPr>
                <w:noProof/>
                <w:webHidden/>
              </w:rPr>
              <w:fldChar w:fldCharType="end"/>
            </w:r>
          </w:hyperlink>
        </w:p>
        <w:p w14:paraId="4B601B9C" w14:textId="77777777" w:rsidR="00EB1DB9" w:rsidRPr="0025714A" w:rsidRDefault="003B11EF">
          <w:r w:rsidRPr="0025714A">
            <w:rPr>
              <w:b/>
              <w:bCs/>
            </w:rPr>
            <w:fldChar w:fldCharType="end"/>
          </w:r>
        </w:p>
      </w:sdtContent>
    </w:sdt>
    <w:p w14:paraId="410FFDD3" w14:textId="77777777" w:rsidR="00E96457" w:rsidRDefault="00E96457" w:rsidP="00BB301C">
      <w:pPr>
        <w:pStyle w:val="Heading1"/>
        <w:numPr>
          <w:ilvl w:val="0"/>
          <w:numId w:val="0"/>
        </w:numPr>
        <w:ind w:left="432" w:hanging="432"/>
      </w:pPr>
      <w:bookmarkStart w:id="2" w:name="_Toc469999985"/>
      <w:bookmarkStart w:id="3" w:name="_Toc482357181"/>
      <w:r>
        <w:lastRenderedPageBreak/>
        <w:t>Table of abbreviations</w:t>
      </w:r>
      <w:bookmarkEnd w:id="2"/>
      <w:bookmarkEnd w:id="3"/>
    </w:p>
    <w:p w14:paraId="1D894C70" w14:textId="77777777" w:rsidR="00E96457" w:rsidRDefault="00E96457" w:rsidP="00E96457">
      <w:r>
        <w:t>CBA</w:t>
      </w:r>
      <w:r>
        <w:tab/>
      </w:r>
      <w:r>
        <w:tab/>
      </w:r>
      <w:r>
        <w:tab/>
      </w:r>
      <w:r>
        <w:tab/>
        <w:t>Cost-benefit analysis</w:t>
      </w:r>
    </w:p>
    <w:p w14:paraId="374634C9" w14:textId="77777777" w:rsidR="00E96457" w:rsidRDefault="00E96457" w:rsidP="00E96457">
      <w:r>
        <w:t>COAG</w:t>
      </w:r>
      <w:r>
        <w:tab/>
      </w:r>
      <w:r>
        <w:tab/>
      </w:r>
      <w:r>
        <w:tab/>
        <w:t>Council of Australian Governments</w:t>
      </w:r>
    </w:p>
    <w:p w14:paraId="1B63E388" w14:textId="77777777" w:rsidR="00E96457" w:rsidRDefault="00E96457" w:rsidP="00E96457">
      <w:r>
        <w:t>CRIS</w:t>
      </w:r>
      <w:r>
        <w:tab/>
      </w:r>
      <w:r>
        <w:tab/>
      </w:r>
      <w:r>
        <w:tab/>
      </w:r>
      <w:r>
        <w:tab/>
        <w:t>Consultation Regulatory Impact Statements</w:t>
      </w:r>
    </w:p>
    <w:p w14:paraId="621C8A15" w14:textId="77777777" w:rsidR="00E96457" w:rsidRDefault="00E96457" w:rsidP="00E96457">
      <w:r>
        <w:t>FRSC</w:t>
      </w:r>
      <w:r>
        <w:tab/>
      </w:r>
      <w:r>
        <w:tab/>
      </w:r>
      <w:r>
        <w:tab/>
        <w:t>Food Regulation Standing Committee</w:t>
      </w:r>
    </w:p>
    <w:p w14:paraId="7BEA31E0" w14:textId="77777777" w:rsidR="00E96457" w:rsidRDefault="00E96457" w:rsidP="00E96457">
      <w:r>
        <w:t>FSANZ</w:t>
      </w:r>
      <w:r>
        <w:tab/>
      </w:r>
      <w:r>
        <w:tab/>
      </w:r>
      <w:r>
        <w:tab/>
        <w:t>Food Standards Australia New Zealand</w:t>
      </w:r>
    </w:p>
    <w:p w14:paraId="62884DF1" w14:textId="77777777" w:rsidR="00E96457" w:rsidRDefault="00E96457" w:rsidP="00E96457">
      <w:r>
        <w:t>FTE</w:t>
      </w:r>
      <w:r>
        <w:tab/>
      </w:r>
      <w:r>
        <w:tab/>
      </w:r>
      <w:r>
        <w:tab/>
      </w:r>
      <w:r>
        <w:tab/>
        <w:t>Full-Time Equivalent</w:t>
      </w:r>
    </w:p>
    <w:p w14:paraId="2223023A" w14:textId="77777777" w:rsidR="00E96457" w:rsidRDefault="00A85FE1" w:rsidP="00E96457">
      <w:r>
        <w:t>MPI</w:t>
      </w:r>
      <w:r w:rsidR="00E96457">
        <w:tab/>
      </w:r>
      <w:r w:rsidR="00E96457">
        <w:tab/>
      </w:r>
      <w:r w:rsidR="00E96457">
        <w:tab/>
      </w:r>
      <w:r>
        <w:tab/>
      </w:r>
      <w:r w:rsidR="00E96457">
        <w:t xml:space="preserve">New Zealand </w:t>
      </w:r>
      <w:r>
        <w:t>Ministry of Primary Industries</w:t>
      </w:r>
    </w:p>
    <w:p w14:paraId="34191F39" w14:textId="77777777" w:rsidR="00E96457" w:rsidRDefault="00E96457" w:rsidP="00E96457">
      <w:r>
        <w:t>OBPR</w:t>
      </w:r>
      <w:r>
        <w:tab/>
      </w:r>
      <w:r>
        <w:tab/>
      </w:r>
      <w:r>
        <w:tab/>
        <w:t>Office of Best Practice Regulation</w:t>
      </w:r>
      <w:r>
        <w:tab/>
      </w:r>
      <w:r>
        <w:tab/>
      </w:r>
    </w:p>
    <w:p w14:paraId="42CF915E" w14:textId="77777777" w:rsidR="00E96457" w:rsidRDefault="00E96457" w:rsidP="00E96457">
      <w:r>
        <w:t>RIS</w:t>
      </w:r>
      <w:r>
        <w:tab/>
      </w:r>
      <w:r>
        <w:tab/>
      </w:r>
      <w:r>
        <w:tab/>
      </w:r>
      <w:r>
        <w:tab/>
        <w:t>Regulatory Impact Statement</w:t>
      </w:r>
    </w:p>
    <w:p w14:paraId="30089DD0" w14:textId="77777777" w:rsidR="00E96457" w:rsidRDefault="00E96457" w:rsidP="00E96457">
      <w:r>
        <w:t>SSEAG</w:t>
      </w:r>
      <w:r>
        <w:tab/>
      </w:r>
      <w:r>
        <w:tab/>
      </w:r>
      <w:r>
        <w:tab/>
        <w:t>Social Science and Economic Advisory Group</w:t>
      </w:r>
    </w:p>
    <w:p w14:paraId="559B0629" w14:textId="77777777" w:rsidR="00225727" w:rsidRDefault="00225727" w:rsidP="00E96457">
      <w:r>
        <w:br w:type="page"/>
      </w:r>
    </w:p>
    <w:p w14:paraId="37482551" w14:textId="77777777" w:rsidR="00CF5E4E" w:rsidRDefault="00701A02" w:rsidP="00BB301C">
      <w:pPr>
        <w:pStyle w:val="Heading1"/>
        <w:numPr>
          <w:ilvl w:val="0"/>
          <w:numId w:val="0"/>
        </w:numPr>
        <w:ind w:left="432" w:hanging="432"/>
      </w:pPr>
      <w:bookmarkStart w:id="4" w:name="_Toc469999987"/>
      <w:bookmarkStart w:id="5" w:name="_Toc482357182"/>
      <w:r>
        <w:lastRenderedPageBreak/>
        <w:t>E</w:t>
      </w:r>
      <w:bookmarkEnd w:id="4"/>
      <w:r w:rsidR="000A24EB" w:rsidRPr="00FF5EB5">
        <w:t xml:space="preserve">xecutive </w:t>
      </w:r>
      <w:r w:rsidR="00455B91">
        <w:t>s</w:t>
      </w:r>
      <w:r w:rsidR="000A24EB" w:rsidRPr="00FF5EB5">
        <w:t>ummary</w:t>
      </w:r>
      <w:bookmarkEnd w:id="5"/>
    </w:p>
    <w:p w14:paraId="65CC66C5" w14:textId="18A0C0AB" w:rsidR="00100980" w:rsidRDefault="000C4F1E" w:rsidP="00100980">
      <w:r>
        <w:t>Food Standards Australia New Zealand (FSANZ)</w:t>
      </w:r>
      <w:r w:rsidR="003E36CC">
        <w:t xml:space="preserve"> is an Australian Government </w:t>
      </w:r>
      <w:r w:rsidR="00FF031F">
        <w:t>agency</w:t>
      </w:r>
      <w:r w:rsidR="00100980">
        <w:t xml:space="preserve"> that develops and administers the Australia New Zealand Food Standards Code (the Code). </w:t>
      </w:r>
      <w:r w:rsidR="003E36CC">
        <w:t xml:space="preserve">The Code is implemented and enforced by </w:t>
      </w:r>
      <w:r w:rsidR="00100980">
        <w:t>state</w:t>
      </w:r>
      <w:r w:rsidR="00267DDE">
        <w:t>,</w:t>
      </w:r>
      <w:r w:rsidR="00100980">
        <w:t xml:space="preserve"> and territory </w:t>
      </w:r>
      <w:r w:rsidR="00FF031F">
        <w:t>agencies</w:t>
      </w:r>
      <w:r w:rsidR="003E36CC">
        <w:t xml:space="preserve">, the New Zealand Ministry for Primary Industries and the Department of Agriculture and Water Resources (for food imported into Australia. </w:t>
      </w:r>
      <w:r w:rsidR="00100980">
        <w:t xml:space="preserve"> </w:t>
      </w:r>
    </w:p>
    <w:p w14:paraId="6D8F854E" w14:textId="77777777" w:rsidR="00100980" w:rsidRDefault="00100980" w:rsidP="00100980">
      <w:r w:rsidRPr="00100980">
        <w:rPr>
          <w:i/>
        </w:rPr>
        <w:t>The Food Standards</w:t>
      </w:r>
      <w:r w:rsidR="005935C0">
        <w:rPr>
          <w:i/>
        </w:rPr>
        <w:t xml:space="preserve"> Australia New Zealand Act 1991</w:t>
      </w:r>
      <w:r w:rsidR="005935C0">
        <w:t xml:space="preserve"> requires FSANZ to consider costs in decision-making. As</w:t>
      </w:r>
      <w:r w:rsidR="00F346A8">
        <w:t xml:space="preserve"> a standard setting body,</w:t>
      </w:r>
      <w:r w:rsidR="005935C0">
        <w:t xml:space="preserve"> FSANZ is </w:t>
      </w:r>
      <w:r w:rsidR="00C56ED9">
        <w:t>required to comply with</w:t>
      </w:r>
      <w:r w:rsidR="00F346A8">
        <w:t xml:space="preserve"> the </w:t>
      </w:r>
      <w:r w:rsidR="000C4F1E">
        <w:t>Council of Australian Governments (</w:t>
      </w:r>
      <w:r w:rsidR="005935C0">
        <w:t>C</w:t>
      </w:r>
      <w:r w:rsidR="00FF0872">
        <w:t>OAG</w:t>
      </w:r>
      <w:r w:rsidR="000C4F1E">
        <w:t>)</w:t>
      </w:r>
      <w:r w:rsidR="005935C0">
        <w:t xml:space="preserve"> </w:t>
      </w:r>
      <w:r w:rsidR="00F346A8">
        <w:t xml:space="preserve">regulatory impact analysis requirements administered by the </w:t>
      </w:r>
      <w:r w:rsidR="000C4F1E">
        <w:t>Office of Best Practice Regulation (</w:t>
      </w:r>
      <w:r w:rsidR="006E7240">
        <w:t>O</w:t>
      </w:r>
      <w:r w:rsidR="00FF0872">
        <w:t>BPR</w:t>
      </w:r>
      <w:r w:rsidR="000C4F1E">
        <w:t>)</w:t>
      </w:r>
      <w:r w:rsidR="00F346A8">
        <w:t>.</w:t>
      </w:r>
      <w:r w:rsidR="00267DDE">
        <w:t xml:space="preserve"> </w:t>
      </w:r>
      <w:r w:rsidR="0084738A" w:rsidRPr="0025714A">
        <w:rPr>
          <w:rFonts w:cs="Arial"/>
        </w:rPr>
        <w:t xml:space="preserve">FSANZ is required to submit </w:t>
      </w:r>
      <w:r w:rsidR="0084738A">
        <w:rPr>
          <w:rFonts w:cs="Arial"/>
        </w:rPr>
        <w:t xml:space="preserve">a </w:t>
      </w:r>
      <w:r w:rsidR="0084738A">
        <w:t>Regulatory Impact Statement (</w:t>
      </w:r>
      <w:r w:rsidR="0084738A" w:rsidRPr="0025714A">
        <w:rPr>
          <w:rFonts w:cs="Arial"/>
        </w:rPr>
        <w:t>R</w:t>
      </w:r>
      <w:r w:rsidR="0084738A">
        <w:rPr>
          <w:rFonts w:cs="Arial"/>
        </w:rPr>
        <w:t>IS)</w:t>
      </w:r>
      <w:r w:rsidR="0084738A" w:rsidRPr="0025714A">
        <w:rPr>
          <w:rFonts w:cs="Arial"/>
        </w:rPr>
        <w:t xml:space="preserve"> to the O</w:t>
      </w:r>
      <w:r w:rsidR="0084738A">
        <w:rPr>
          <w:rFonts w:cs="Arial"/>
        </w:rPr>
        <w:t>BPR for all decisions made that would encourage</w:t>
      </w:r>
      <w:r w:rsidR="003B4527">
        <w:rPr>
          <w:rFonts w:cs="Arial"/>
        </w:rPr>
        <w:t>,</w:t>
      </w:r>
      <w:r w:rsidR="0084738A">
        <w:rPr>
          <w:rFonts w:cs="Arial"/>
        </w:rPr>
        <w:t xml:space="preserve"> or force</w:t>
      </w:r>
      <w:r w:rsidR="003B4527">
        <w:rPr>
          <w:rFonts w:cs="Arial"/>
        </w:rPr>
        <w:t>,</w:t>
      </w:r>
      <w:r w:rsidR="0084738A">
        <w:rPr>
          <w:rFonts w:cs="Arial"/>
        </w:rPr>
        <w:t xml:space="preserve"> businesses or individuals to pursue their interests in ways they would not otherwise have done, unless the impact is minor.</w:t>
      </w:r>
    </w:p>
    <w:p w14:paraId="35F9F733" w14:textId="77777777" w:rsidR="00C07897" w:rsidRDefault="00C07897" w:rsidP="00100980">
      <w:r>
        <w:t xml:space="preserve">The </w:t>
      </w:r>
      <w:r w:rsidR="003E36CC">
        <w:t xml:space="preserve">Commonwealth </w:t>
      </w:r>
      <w:r>
        <w:t xml:space="preserve">Department of Health contracted FSANZ to develop an </w:t>
      </w:r>
      <w:r w:rsidR="007D1153">
        <w:t>activity-based costing model for government costs</w:t>
      </w:r>
      <w:r w:rsidR="00FF5EB5">
        <w:t xml:space="preserve"> associated with changes to the Code</w:t>
      </w:r>
      <w:r w:rsidR="000C4F1E">
        <w:t xml:space="preserve">. The model will form part of the response to </w:t>
      </w:r>
      <w:r w:rsidR="007D1153">
        <w:t xml:space="preserve">the Australia and New Zealand </w:t>
      </w:r>
      <w:r w:rsidR="005E3180">
        <w:t xml:space="preserve">Ministerial Forum on Food Regulation (the Forum) </w:t>
      </w:r>
      <w:r w:rsidR="00FF5EB5">
        <w:t>for</w:t>
      </w:r>
      <w:r w:rsidR="005E3180">
        <w:t xml:space="preserve"> the Review of Food Labelling Law and Policy.</w:t>
      </w:r>
    </w:p>
    <w:p w14:paraId="518D2EBA" w14:textId="77777777" w:rsidR="005E3180" w:rsidRDefault="005E3180" w:rsidP="00100980">
      <w:r>
        <w:t>The project has involved:</w:t>
      </w:r>
    </w:p>
    <w:p w14:paraId="30466F30" w14:textId="6A0C1A0A" w:rsidR="005E3180" w:rsidRDefault="00D67346" w:rsidP="00D67346">
      <w:pPr>
        <w:pStyle w:val="FSBullet1"/>
      </w:pPr>
      <w:r>
        <w:t>s</w:t>
      </w:r>
      <w:r w:rsidR="005E3180">
        <w:t xml:space="preserve">ystematic consultation with all Australian state and territory </w:t>
      </w:r>
      <w:r w:rsidR="003E36CC">
        <w:t>a</w:t>
      </w:r>
      <w:r w:rsidR="005E3180">
        <w:t>gencies, the New Zealand Government and a number of local government bodies</w:t>
      </w:r>
    </w:p>
    <w:p w14:paraId="19244135" w14:textId="6D4FDB21" w:rsidR="005E3180" w:rsidRDefault="00D67346" w:rsidP="000C52C6">
      <w:pPr>
        <w:pStyle w:val="FSBullet1"/>
      </w:pPr>
      <w:r>
        <w:t>c</w:t>
      </w:r>
      <w:r w:rsidR="005E3180">
        <w:t xml:space="preserve">ollection of readily available costing information held by </w:t>
      </w:r>
      <w:r w:rsidR="003E36CC">
        <w:t>a</w:t>
      </w:r>
      <w:r w:rsidR="005E3180">
        <w:t>gencies and a number of local government bodies</w:t>
      </w:r>
    </w:p>
    <w:p w14:paraId="1EE64DA5" w14:textId="2B96779A" w:rsidR="00266A3A" w:rsidRDefault="00D67346" w:rsidP="00D67346">
      <w:pPr>
        <w:pStyle w:val="FSBullet1"/>
      </w:pPr>
      <w:r>
        <w:t xml:space="preserve">categorisation of the implementation costs associated with changes to the Code to the </w:t>
      </w:r>
      <w:r w:rsidR="003E36CC">
        <w:t>a</w:t>
      </w:r>
      <w:r>
        <w:t>gencies</w:t>
      </w:r>
    </w:p>
    <w:p w14:paraId="043D800C" w14:textId="77777777" w:rsidR="00D67346" w:rsidRDefault="00D67346" w:rsidP="00D67346">
      <w:pPr>
        <w:pStyle w:val="FSBullet1"/>
      </w:pPr>
      <w:r>
        <w:t>assessment of this data with respect to estimating costs and benefits associated with a change to the Code</w:t>
      </w:r>
      <w:r w:rsidR="0024687E">
        <w:t>.</w:t>
      </w:r>
    </w:p>
    <w:p w14:paraId="4665FC50" w14:textId="525EEEB6" w:rsidR="00DA70F8" w:rsidRDefault="00D67346" w:rsidP="00100980">
      <w:r>
        <w:t xml:space="preserve">Regulatory impact analysis of a new piece of legislation estimates the </w:t>
      </w:r>
      <w:r w:rsidR="009F5B3A">
        <w:t>impact</w:t>
      </w:r>
      <w:r w:rsidR="00495E0A">
        <w:t xml:space="preserve"> of</w:t>
      </w:r>
      <w:r>
        <w:t xml:space="preserve"> </w:t>
      </w:r>
      <w:r w:rsidR="00313481">
        <w:t>changing f</w:t>
      </w:r>
      <w:r>
        <w:t>r</w:t>
      </w:r>
      <w:r w:rsidR="00313481">
        <w:t>o</w:t>
      </w:r>
      <w:r>
        <w:t xml:space="preserve">m the </w:t>
      </w:r>
      <w:r w:rsidR="000C4F1E">
        <w:t xml:space="preserve">current </w:t>
      </w:r>
      <w:r w:rsidR="00495E0A">
        <w:t>conditions</w:t>
      </w:r>
      <w:r w:rsidR="000C4F1E">
        <w:t xml:space="preserve"> (</w:t>
      </w:r>
      <w:r>
        <w:t>status quo</w:t>
      </w:r>
      <w:r w:rsidR="000C4F1E">
        <w:t>)</w:t>
      </w:r>
      <w:r w:rsidR="009F5B3A">
        <w:t xml:space="preserve"> by considering</w:t>
      </w:r>
      <w:r>
        <w:t xml:space="preserve"> costs that arise from the regulation being incorporated into the existing food regulatory system. </w:t>
      </w:r>
      <w:r w:rsidR="00DE6B92">
        <w:t xml:space="preserve">FSANZ has examined relationships between changes to the Code </w:t>
      </w:r>
      <w:r w:rsidR="00FC6682">
        <w:t>and jurisdictional</w:t>
      </w:r>
      <w:r w:rsidR="00852B2F">
        <w:t xml:space="preserve"> </w:t>
      </w:r>
      <w:r w:rsidR="00DE6B92">
        <w:t>implem</w:t>
      </w:r>
      <w:r w:rsidR="00852B2F">
        <w:t>en</w:t>
      </w:r>
      <w:r w:rsidR="00DE6B92">
        <w:t>t</w:t>
      </w:r>
      <w:r w:rsidR="00852B2F">
        <w:t xml:space="preserve">ation costs. </w:t>
      </w:r>
      <w:r w:rsidR="00DA70F8">
        <w:t xml:space="preserve">A subset of jurisdictional implementation costs were considered to be out-of-scope </w:t>
      </w:r>
      <w:r w:rsidR="003E36CC">
        <w:t>because they were not typically required by the</w:t>
      </w:r>
      <w:r w:rsidR="00DA70F8">
        <w:t xml:space="preserve"> OBPR</w:t>
      </w:r>
      <w:r w:rsidR="00FE1CA5">
        <w:t xml:space="preserve"> </w:t>
      </w:r>
      <w:r w:rsidR="003E36CC">
        <w:t>and did not fit within</w:t>
      </w:r>
      <w:r w:rsidR="00DA70F8">
        <w:t xml:space="preserve"> standard approaches to cost-benefit analysis.</w:t>
      </w:r>
    </w:p>
    <w:p w14:paraId="518D6C7E" w14:textId="77777777" w:rsidR="00264FFF" w:rsidRDefault="00DA70F8" w:rsidP="00100980">
      <w:r>
        <w:t xml:space="preserve">From the range of costs considered, three </w:t>
      </w:r>
      <w:r w:rsidR="000564C3">
        <w:t xml:space="preserve">classes of </w:t>
      </w:r>
      <w:r w:rsidR="00FF5EB5">
        <w:t>activities were</w:t>
      </w:r>
      <w:r>
        <w:t xml:space="preserve"> within</w:t>
      </w:r>
      <w:r w:rsidR="00264FFF">
        <w:t xml:space="preserve"> scope, namely</w:t>
      </w:r>
      <w:r w:rsidR="00FC6682">
        <w:t>:</w:t>
      </w:r>
    </w:p>
    <w:p w14:paraId="3987F909" w14:textId="77777777" w:rsidR="00264FFF" w:rsidRDefault="00264FFF" w:rsidP="00264FFF">
      <w:pPr>
        <w:pStyle w:val="FSBullet1"/>
      </w:pPr>
      <w:r>
        <w:t>development of the implementation strategy</w:t>
      </w:r>
    </w:p>
    <w:p w14:paraId="3069B140" w14:textId="77777777" w:rsidR="00264FFF" w:rsidRDefault="00264FFF" w:rsidP="00264FFF">
      <w:pPr>
        <w:pStyle w:val="FSBullet1"/>
      </w:pPr>
      <w:r>
        <w:t xml:space="preserve">physical implementation of the new regulation </w:t>
      </w:r>
      <w:r w:rsidR="007A164F">
        <w:t>into</w:t>
      </w:r>
      <w:r>
        <w:t xml:space="preserve"> the food regulatory system</w:t>
      </w:r>
    </w:p>
    <w:p w14:paraId="61C1BC10" w14:textId="77777777" w:rsidR="00264FFF" w:rsidRDefault="00264FFF" w:rsidP="00264FFF">
      <w:pPr>
        <w:pStyle w:val="FSBullet1"/>
      </w:pPr>
      <w:r>
        <w:t>ongoing administration of the regulation</w:t>
      </w:r>
      <w:r w:rsidR="0024687E">
        <w:t>.</w:t>
      </w:r>
    </w:p>
    <w:p w14:paraId="6058AD84" w14:textId="69AE1C86" w:rsidR="00264FFF" w:rsidRPr="00FF5EB5" w:rsidRDefault="00FF5EB5" w:rsidP="008F01E7">
      <w:pPr>
        <w:keepNext/>
        <w:keepLines/>
        <w:rPr>
          <w:i/>
        </w:rPr>
      </w:pPr>
      <w:r>
        <w:lastRenderedPageBreak/>
        <w:t>A</w:t>
      </w:r>
      <w:r w:rsidR="00264FFF">
        <w:t xml:space="preserve"> Government Implementation Cost </w:t>
      </w:r>
      <w:r w:rsidR="00FF031F">
        <w:t>Framework</w:t>
      </w:r>
      <w:r w:rsidR="00264FFF">
        <w:t xml:space="preserve"> (the </w:t>
      </w:r>
      <w:r w:rsidR="00D34356">
        <w:t>f</w:t>
      </w:r>
      <w:r w:rsidR="00FF031F">
        <w:t>ramework</w:t>
      </w:r>
      <w:r w:rsidR="00264FFF">
        <w:t>) was developed</w:t>
      </w:r>
      <w:r w:rsidR="006E691E">
        <w:t xml:space="preserve"> in order to perform two functions. </w:t>
      </w:r>
      <w:r w:rsidR="003B04CB">
        <w:t>The f</w:t>
      </w:r>
      <w:r w:rsidR="006E691E">
        <w:t>ir</w:t>
      </w:r>
      <w:r w:rsidR="003B04CB">
        <w:t xml:space="preserve">st </w:t>
      </w:r>
      <w:r w:rsidR="00FC6682">
        <w:t>function was</w:t>
      </w:r>
      <w:r w:rsidR="003B04CB">
        <w:t xml:space="preserve"> to help determine whether the jurisdictions</w:t>
      </w:r>
      <w:r w:rsidR="005E0BC3">
        <w:t>’</w:t>
      </w:r>
      <w:r w:rsidR="003B04CB">
        <w:t xml:space="preserve"> costs were material to the regulatory impact analysis a</w:t>
      </w:r>
      <w:r>
        <w:t>nd so required expression</w:t>
      </w:r>
      <w:r w:rsidR="003B04CB">
        <w:t xml:space="preserve"> in monetary terms. </w:t>
      </w:r>
      <w:r w:rsidR="007A164F">
        <w:t xml:space="preserve">The second function was to estimate the size of the jurisdiction’s net cost if necessary. The </w:t>
      </w:r>
      <w:r w:rsidR="00D34356">
        <w:t>f</w:t>
      </w:r>
      <w:r w:rsidR="00FF031F">
        <w:t>ramework</w:t>
      </w:r>
      <w:r w:rsidR="007A164F">
        <w:t xml:space="preserve"> comprised an indicative </w:t>
      </w:r>
      <w:r w:rsidR="00D34356">
        <w:t>m</w:t>
      </w:r>
      <w:r w:rsidR="007A164F">
        <w:t>aterial</w:t>
      </w:r>
      <w:r w:rsidR="0096391D">
        <w:t>ity</w:t>
      </w:r>
      <w:r w:rsidR="007A164F">
        <w:t xml:space="preserve"> tool </w:t>
      </w:r>
      <w:r w:rsidR="0096391D">
        <w:t xml:space="preserve">and a </w:t>
      </w:r>
      <w:r w:rsidR="00D34356">
        <w:t>c</w:t>
      </w:r>
      <w:r w:rsidR="0096391D">
        <w:t>osting tool. The project has found a number of consistent factors that influence the jurisdictions implementation costs. These include:</w:t>
      </w:r>
    </w:p>
    <w:p w14:paraId="45059CE2" w14:textId="77777777" w:rsidR="008F01E7" w:rsidRDefault="008F01E7" w:rsidP="008F01E7">
      <w:pPr>
        <w:pStyle w:val="FSBullet1"/>
        <w:keepNext/>
        <w:keepLines/>
      </w:pPr>
      <w:r>
        <w:t>whether the industry is presently regulated and the level of that regulation</w:t>
      </w:r>
    </w:p>
    <w:p w14:paraId="03607494" w14:textId="77777777" w:rsidR="008F01E7" w:rsidRDefault="008F01E7" w:rsidP="008F01E7">
      <w:pPr>
        <w:pStyle w:val="FSBullet1"/>
        <w:keepNext/>
        <w:keepLines/>
      </w:pPr>
      <w:r>
        <w:t>the number of businesses affected by the change</w:t>
      </w:r>
    </w:p>
    <w:p w14:paraId="26650984" w14:textId="77777777" w:rsidR="008F01E7" w:rsidRDefault="008F01E7" w:rsidP="008F01E7">
      <w:pPr>
        <w:pStyle w:val="FSBullet1"/>
        <w:keepNext/>
        <w:keepLines/>
        <w:rPr>
          <w:color w:val="44546A"/>
        </w:rPr>
      </w:pPr>
      <w:r>
        <w:t xml:space="preserve">the skills and systems that industry may already have in place to manage the new regulatory requirements </w:t>
      </w:r>
    </w:p>
    <w:p w14:paraId="0D2AC5D4" w14:textId="77777777" w:rsidR="00D85CA6" w:rsidRDefault="00ED160B" w:rsidP="008F01E7">
      <w:pPr>
        <w:pStyle w:val="FSBullet1"/>
        <w:keepNext/>
        <w:keepLines/>
      </w:pPr>
      <w:r>
        <w:t>if</w:t>
      </w:r>
      <w:r w:rsidR="00135CC5">
        <w:t xml:space="preserve"> food safety plans </w:t>
      </w:r>
      <w:r w:rsidR="00D85CA6">
        <w:t>need to be changed, or put in place, in order to comply with any Code changes</w:t>
      </w:r>
    </w:p>
    <w:p w14:paraId="3CF40452" w14:textId="77777777" w:rsidR="006206E9" w:rsidRPr="000D0F97" w:rsidRDefault="006206E9" w:rsidP="006206E9">
      <w:pPr>
        <w:pStyle w:val="FSBullet1"/>
      </w:pPr>
      <w:r>
        <w:t xml:space="preserve">whether the changes are required to be legislated or gazetted by the jurisdictions in order to legalise the changes to their food safety system. </w:t>
      </w:r>
    </w:p>
    <w:p w14:paraId="7856A15E" w14:textId="77777777" w:rsidR="00D85CA6" w:rsidRDefault="00CB37D8" w:rsidP="00264FFF">
      <w:r>
        <w:t xml:space="preserve">If the factors listed above are unlikely to be material to the jurisdiction’s costs then a quick decision can be made to limit research effort to more relevant areas. Increasing the number of </w:t>
      </w:r>
      <w:r w:rsidR="00471BFC">
        <w:t xml:space="preserve">the </w:t>
      </w:r>
      <w:r>
        <w:t xml:space="preserve">above factors involved </w:t>
      </w:r>
      <w:r w:rsidR="00DE7D81">
        <w:t xml:space="preserve">increases the likelihood that the jurisdictions’ implementation costs </w:t>
      </w:r>
      <w:r w:rsidR="00911F4D">
        <w:t>will be a significant component</w:t>
      </w:r>
      <w:r w:rsidR="00F71078">
        <w:t xml:space="preserve"> in FSANZ’</w:t>
      </w:r>
      <w:r w:rsidR="00911F4D">
        <w:t>s regul</w:t>
      </w:r>
      <w:r w:rsidR="005A21FF">
        <w:t>atory</w:t>
      </w:r>
      <w:r w:rsidR="00911F4D">
        <w:t xml:space="preserve"> impact analysis </w:t>
      </w:r>
      <w:r w:rsidR="00FF5EB5">
        <w:t>and so</w:t>
      </w:r>
      <w:r w:rsidR="00FC6682">
        <w:t xml:space="preserve"> require in-</w:t>
      </w:r>
      <w:r w:rsidR="00911F4D">
        <w:t>depth cost review.</w:t>
      </w:r>
    </w:p>
    <w:p w14:paraId="2E797C59" w14:textId="578934E4" w:rsidR="008A4D61" w:rsidRDefault="005A21FF" w:rsidP="00FE1CA5">
      <w:r>
        <w:t>Effective models require balance between accuracy</w:t>
      </w:r>
      <w:r w:rsidR="001D2F5B">
        <w:t>,</w:t>
      </w:r>
      <w:r>
        <w:t xml:space="preserve"> reflection of real</w:t>
      </w:r>
      <w:r w:rsidR="00EC740F">
        <w:t>-</w:t>
      </w:r>
      <w:r>
        <w:t>world issues</w:t>
      </w:r>
      <w:r w:rsidR="001D2F5B">
        <w:t>,</w:t>
      </w:r>
      <w:r>
        <w:t xml:space="preserve"> reliability</w:t>
      </w:r>
      <w:r w:rsidR="001D2F5B">
        <w:t>,</w:t>
      </w:r>
      <w:r>
        <w:t xml:space="preserve"> and ease of use. The usability of the </w:t>
      </w:r>
      <w:r w:rsidR="00D34356">
        <w:t>m</w:t>
      </w:r>
      <w:r>
        <w:t xml:space="preserve">ateriality tool </w:t>
      </w:r>
      <w:r w:rsidR="005C1D86">
        <w:t xml:space="preserve">is enhanced by </w:t>
      </w:r>
      <w:r w:rsidR="001D2F5B">
        <w:t xml:space="preserve">using proxy measures to indicate ‘the complexity of the change to the Code’, and ‘the level of the regulatory sophistication of the affected businesses’. </w:t>
      </w:r>
    </w:p>
    <w:p w14:paraId="05A43D13" w14:textId="4C1B29D0" w:rsidR="002E232C" w:rsidRDefault="00FC6682" w:rsidP="00264FFF">
      <w:r>
        <w:t xml:space="preserve">The </w:t>
      </w:r>
      <w:r w:rsidR="00D34356">
        <w:t>c</w:t>
      </w:r>
      <w:r w:rsidR="002E232C">
        <w:t xml:space="preserve">osting tool is built around information and data provided during consultation with the </w:t>
      </w:r>
      <w:r w:rsidR="00D34356">
        <w:t>a</w:t>
      </w:r>
      <w:r w:rsidR="00FF031F">
        <w:t>gencies</w:t>
      </w:r>
      <w:r w:rsidR="002E232C">
        <w:t xml:space="preserve">. The tool is based on a simplified activity-based costing approach. The values calculated using the model will act as a starting point for </w:t>
      </w:r>
      <w:r w:rsidR="00F71078">
        <w:t>further discussions with jurisdictions.</w:t>
      </w:r>
    </w:p>
    <w:p w14:paraId="08C7B41C" w14:textId="6EC52D33" w:rsidR="00F71078" w:rsidRDefault="00F71078" w:rsidP="00264FFF">
      <w:r>
        <w:t>This approach allows costs to be calculated by identif</w:t>
      </w:r>
      <w:r w:rsidR="003E36CC">
        <w:t xml:space="preserve">ying </w:t>
      </w:r>
      <w:r>
        <w:t>the activities involved</w:t>
      </w:r>
      <w:r w:rsidR="00FC6682">
        <w:t xml:space="preserve"> in implementation and assigning </w:t>
      </w:r>
      <w:r>
        <w:t>a cost to each activity</w:t>
      </w:r>
      <w:r w:rsidR="00FF5EB5">
        <w:t>,</w:t>
      </w:r>
      <w:r>
        <w:t xml:space="preserve"> based on required res</w:t>
      </w:r>
      <w:r w:rsidR="00EB74CE">
        <w:t>o</w:t>
      </w:r>
      <w:r>
        <w:t xml:space="preserve">urces. </w:t>
      </w:r>
    </w:p>
    <w:p w14:paraId="70553E1B" w14:textId="1D63E59B" w:rsidR="0042330A" w:rsidRDefault="0042330A" w:rsidP="00264FFF">
      <w:r>
        <w:t xml:space="preserve">It is anticipated that the </w:t>
      </w:r>
      <w:r w:rsidR="00D34356">
        <w:t>f</w:t>
      </w:r>
      <w:r w:rsidR="00FF031F">
        <w:t>ramework</w:t>
      </w:r>
      <w:r>
        <w:t xml:space="preserve"> will be refined and developed over time with the collection of improved costing data and increased experience in estimating government costs, and this will assist FSANZ in optimising regulatory design. It is FSANZ’s intention that this ongoing process will take place in close partnership with the food regulators.</w:t>
      </w:r>
    </w:p>
    <w:p w14:paraId="113C8AE5" w14:textId="77777777" w:rsidR="00D85CA6" w:rsidRDefault="00D85CA6" w:rsidP="00264FFF"/>
    <w:p w14:paraId="5AA93B0C" w14:textId="77777777" w:rsidR="00D85CA6" w:rsidRDefault="00D85CA6" w:rsidP="00264FFF"/>
    <w:p w14:paraId="294B1C9E" w14:textId="77777777" w:rsidR="00FF5EB5" w:rsidRDefault="00FF5EB5">
      <w:pPr>
        <w:spacing w:after="0"/>
      </w:pPr>
      <w:r>
        <w:br w:type="page"/>
      </w:r>
    </w:p>
    <w:p w14:paraId="4195AA65" w14:textId="77777777" w:rsidR="00621901" w:rsidRPr="0025714A" w:rsidRDefault="00621901" w:rsidP="003A618C">
      <w:pPr>
        <w:pStyle w:val="Heading1"/>
      </w:pPr>
      <w:bookmarkStart w:id="6" w:name="_Toc469999988"/>
      <w:bookmarkStart w:id="7" w:name="_Toc482357183"/>
      <w:r w:rsidRPr="0025714A">
        <w:lastRenderedPageBreak/>
        <w:t>Introduction</w:t>
      </w:r>
      <w:bookmarkEnd w:id="6"/>
      <w:bookmarkEnd w:id="7"/>
    </w:p>
    <w:p w14:paraId="25B6CC18" w14:textId="77C59C03" w:rsidR="00D979C0" w:rsidRDefault="00B201E8" w:rsidP="00D979C0">
      <w:pPr>
        <w:rPr>
          <w:rFonts w:cs="Arial"/>
        </w:rPr>
      </w:pPr>
      <w:r>
        <w:t>Food Standards Australia New Zealand</w:t>
      </w:r>
      <w:r>
        <w:rPr>
          <w:rFonts w:cs="Arial"/>
        </w:rPr>
        <w:t xml:space="preserve"> (FSANZ)</w:t>
      </w:r>
      <w:r w:rsidR="00D979C0" w:rsidRPr="0025714A">
        <w:rPr>
          <w:rFonts w:cs="Arial"/>
        </w:rPr>
        <w:t xml:space="preserve"> maintains the </w:t>
      </w:r>
      <w:r w:rsidR="00480D94">
        <w:rPr>
          <w:rFonts w:cs="Arial"/>
        </w:rPr>
        <w:t>joint</w:t>
      </w:r>
      <w:r w:rsidR="00D979C0" w:rsidRPr="0025714A">
        <w:rPr>
          <w:rFonts w:cs="Arial"/>
        </w:rPr>
        <w:t xml:space="preserve"> food standards </w:t>
      </w:r>
      <w:r w:rsidR="00CA68BE">
        <w:rPr>
          <w:rFonts w:cs="Arial"/>
        </w:rPr>
        <w:t>set out in</w:t>
      </w:r>
      <w:r w:rsidR="00D979C0" w:rsidRPr="0025714A">
        <w:rPr>
          <w:rFonts w:cs="Arial"/>
        </w:rPr>
        <w:t xml:space="preserve"> the Australia New Zealand Food Standards Code (the Code). </w:t>
      </w:r>
    </w:p>
    <w:p w14:paraId="70C081AB" w14:textId="5684E776" w:rsidR="00DC0AC6" w:rsidRDefault="00480D94" w:rsidP="00DC0AC6">
      <w:pPr>
        <w:rPr>
          <w:lang w:val="en-GB" w:eastAsia="en-AU"/>
        </w:rPr>
      </w:pPr>
      <w:r>
        <w:t xml:space="preserve">As a standard setting body, FSANZ is </w:t>
      </w:r>
      <w:r w:rsidR="00C56ED9">
        <w:t>requir</w:t>
      </w:r>
      <w:r w:rsidR="00267DDE">
        <w:t>e</w:t>
      </w:r>
      <w:r w:rsidR="00C56ED9">
        <w:t>d to comply with</w:t>
      </w:r>
      <w:r>
        <w:t xml:space="preserve"> the Council of Australian Governments (COAG) best practice regulation and regulatory impact analysis requirements </w:t>
      </w:r>
      <w:r w:rsidR="0084738A">
        <w:t xml:space="preserve">as </w:t>
      </w:r>
      <w:r>
        <w:t>administered by the Office of Best Practice Regulation (OBPR)</w:t>
      </w:r>
      <w:r w:rsidRPr="00480D94">
        <w:rPr>
          <w:rStyle w:val="FootnoteReference"/>
          <w:rFonts w:cs="Arial"/>
        </w:rPr>
        <w:t xml:space="preserve"> </w:t>
      </w:r>
      <w:r w:rsidRPr="0025714A">
        <w:rPr>
          <w:rStyle w:val="FootnoteReference"/>
          <w:rFonts w:cs="Arial"/>
        </w:rPr>
        <w:footnoteReference w:id="2"/>
      </w:r>
      <w:r>
        <w:t xml:space="preserve">. </w:t>
      </w:r>
      <w:r w:rsidR="00DC0AC6" w:rsidRPr="0025714A">
        <w:rPr>
          <w:rFonts w:cs="Arial"/>
        </w:rPr>
        <w:t xml:space="preserve">FSANZ is required to submit </w:t>
      </w:r>
      <w:r w:rsidR="000E248B">
        <w:rPr>
          <w:rFonts w:cs="Arial"/>
        </w:rPr>
        <w:t xml:space="preserve">a </w:t>
      </w:r>
      <w:r w:rsidR="00B201E8">
        <w:t>Regulatory Impact Statement (</w:t>
      </w:r>
      <w:r w:rsidR="00DC0AC6" w:rsidRPr="0025714A">
        <w:rPr>
          <w:rFonts w:cs="Arial"/>
        </w:rPr>
        <w:t>R</w:t>
      </w:r>
      <w:r w:rsidR="00FF0872">
        <w:rPr>
          <w:rFonts w:cs="Arial"/>
        </w:rPr>
        <w:t>IS</w:t>
      </w:r>
      <w:r w:rsidR="00B201E8">
        <w:rPr>
          <w:rFonts w:cs="Arial"/>
        </w:rPr>
        <w:t>)</w:t>
      </w:r>
      <w:r w:rsidR="00DC0AC6" w:rsidRPr="0025714A">
        <w:rPr>
          <w:rFonts w:cs="Arial"/>
        </w:rPr>
        <w:t xml:space="preserve"> to the </w:t>
      </w:r>
      <w:r w:rsidR="00B201E8">
        <w:t>Office of Best Practice Regulation (</w:t>
      </w:r>
      <w:r w:rsidR="00DC0AC6" w:rsidRPr="0025714A">
        <w:rPr>
          <w:rFonts w:cs="Arial"/>
        </w:rPr>
        <w:t>O</w:t>
      </w:r>
      <w:r w:rsidR="00FF0872">
        <w:rPr>
          <w:rFonts w:cs="Arial"/>
        </w:rPr>
        <w:t>BPR</w:t>
      </w:r>
      <w:r w:rsidR="00B201E8">
        <w:rPr>
          <w:rFonts w:cs="Arial"/>
        </w:rPr>
        <w:t>)</w:t>
      </w:r>
      <w:r w:rsidR="00DC0AC6">
        <w:rPr>
          <w:rFonts w:cs="Arial"/>
        </w:rPr>
        <w:t xml:space="preserve"> for all decisions made that would encourage or force businesses or individuals to pursue their interests in ways they would not otherwise have done</w:t>
      </w:r>
      <w:r w:rsidR="0084738A">
        <w:rPr>
          <w:rFonts w:cs="Arial"/>
        </w:rPr>
        <w:t>, unless the impact is minor</w:t>
      </w:r>
      <w:r w:rsidR="0084738A">
        <w:rPr>
          <w:rStyle w:val="FootnoteReference"/>
          <w:rFonts w:cs="Arial"/>
        </w:rPr>
        <w:footnoteReference w:id="3"/>
      </w:r>
      <w:r w:rsidR="00DC0AC6">
        <w:rPr>
          <w:rFonts w:cs="Arial"/>
        </w:rPr>
        <w:t xml:space="preserve">. </w:t>
      </w:r>
      <w:r w:rsidR="00DC0AC6" w:rsidRPr="0025714A">
        <w:rPr>
          <w:rFonts w:cs="Arial"/>
        </w:rPr>
        <w:t xml:space="preserve">The RIS </w:t>
      </w:r>
      <w:r w:rsidR="00DC0AC6">
        <w:rPr>
          <w:rFonts w:cs="Arial"/>
        </w:rPr>
        <w:t>aims to be</w:t>
      </w:r>
      <w:r w:rsidR="00DC0AC6" w:rsidRPr="0025714A">
        <w:rPr>
          <w:rFonts w:cs="Arial"/>
        </w:rPr>
        <w:t xml:space="preserve"> a balanced, structured examination of the </w:t>
      </w:r>
      <w:r w:rsidR="00617EC6">
        <w:rPr>
          <w:rFonts w:cs="Arial"/>
        </w:rPr>
        <w:t xml:space="preserve">considered </w:t>
      </w:r>
      <w:r w:rsidR="00DC0AC6" w:rsidRPr="0025714A">
        <w:rPr>
          <w:rFonts w:cs="Arial"/>
        </w:rPr>
        <w:t xml:space="preserve">options </w:t>
      </w:r>
      <w:r w:rsidR="00617EC6">
        <w:rPr>
          <w:rFonts w:cs="Arial"/>
        </w:rPr>
        <w:t xml:space="preserve">in order </w:t>
      </w:r>
      <w:r w:rsidR="00DC0AC6" w:rsidRPr="0025714A">
        <w:rPr>
          <w:rFonts w:cs="Arial"/>
        </w:rPr>
        <w:t>to address the food</w:t>
      </w:r>
      <w:r w:rsidR="003E36CC">
        <w:rPr>
          <w:rFonts w:cs="Arial"/>
        </w:rPr>
        <w:t>-</w:t>
      </w:r>
      <w:r w:rsidR="00DC0AC6" w:rsidRPr="0025714A">
        <w:rPr>
          <w:rFonts w:cs="Arial"/>
        </w:rPr>
        <w:t xml:space="preserve">related </w:t>
      </w:r>
      <w:r w:rsidR="00DC0AC6">
        <w:rPr>
          <w:rFonts w:cs="Arial"/>
        </w:rPr>
        <w:t>risk</w:t>
      </w:r>
      <w:r w:rsidR="00701584">
        <w:rPr>
          <w:rFonts w:cs="Arial"/>
        </w:rPr>
        <w:t xml:space="preserve"> or other objective</w:t>
      </w:r>
      <w:r w:rsidR="00DC0AC6" w:rsidRPr="0025714A">
        <w:rPr>
          <w:rFonts w:cs="Arial"/>
        </w:rPr>
        <w:t xml:space="preserve"> (risk management options)</w:t>
      </w:r>
      <w:r w:rsidR="00DC0AC6">
        <w:rPr>
          <w:rFonts w:cs="Arial"/>
        </w:rPr>
        <w:t xml:space="preserve">. </w:t>
      </w:r>
      <w:r w:rsidR="00DC0AC6" w:rsidRPr="0025714A">
        <w:rPr>
          <w:rFonts w:cs="Arial"/>
        </w:rPr>
        <w:t xml:space="preserve">The purpose of a RIS is to draw conclusions on whether regulation is </w:t>
      </w:r>
      <w:r w:rsidR="0084738A">
        <w:rPr>
          <w:rFonts w:cs="Arial"/>
        </w:rPr>
        <w:t>appropriate</w:t>
      </w:r>
      <w:r w:rsidR="00DC0AC6" w:rsidRPr="0025714A">
        <w:rPr>
          <w:rFonts w:cs="Arial"/>
        </w:rPr>
        <w:t xml:space="preserve">, and if so, which of the considered risk management options is the most efficient and effective approach. </w:t>
      </w:r>
      <w:r w:rsidR="009D7069" w:rsidRPr="0025714A">
        <w:t xml:space="preserve">The OBPR independently assesses the </w:t>
      </w:r>
      <w:r w:rsidR="00617EC6">
        <w:t xml:space="preserve">RIS </w:t>
      </w:r>
      <w:r w:rsidR="009D7069" w:rsidRPr="0025714A">
        <w:t>quality of analysis</w:t>
      </w:r>
      <w:r w:rsidR="00BF0C43">
        <w:t>.</w:t>
      </w:r>
    </w:p>
    <w:p w14:paraId="243B6BDE" w14:textId="77777777" w:rsidR="00DC0AC6" w:rsidRPr="0025714A" w:rsidRDefault="00DC0AC6" w:rsidP="00DC0AC6">
      <w:pPr>
        <w:keepLines/>
        <w:rPr>
          <w:rFonts w:cs="Arial"/>
        </w:rPr>
      </w:pPr>
      <w:r>
        <w:rPr>
          <w:rFonts w:cs="Arial"/>
        </w:rPr>
        <w:t>Cost-benefit analysis (</w:t>
      </w:r>
      <w:r w:rsidRPr="0025714A">
        <w:rPr>
          <w:rFonts w:cs="Arial"/>
        </w:rPr>
        <w:t>CBA</w:t>
      </w:r>
      <w:r>
        <w:rPr>
          <w:rFonts w:cs="Arial"/>
        </w:rPr>
        <w:t>)</w:t>
      </w:r>
      <w:r w:rsidRPr="0025714A">
        <w:rPr>
          <w:rFonts w:cs="Arial"/>
        </w:rPr>
        <w:t xml:space="preserve"> is </w:t>
      </w:r>
      <w:r>
        <w:rPr>
          <w:rFonts w:cs="Arial"/>
        </w:rPr>
        <w:t xml:space="preserve">often </w:t>
      </w:r>
      <w:r w:rsidRPr="0025714A">
        <w:rPr>
          <w:rFonts w:cs="Arial"/>
        </w:rPr>
        <w:t>a key component of the RIS as it</w:t>
      </w:r>
      <w:r>
        <w:rPr>
          <w:rFonts w:cs="Arial"/>
        </w:rPr>
        <w:t xml:space="preserve"> can assist in</w:t>
      </w:r>
      <w:r w:rsidRPr="0025714A">
        <w:rPr>
          <w:rFonts w:cs="Arial"/>
        </w:rPr>
        <w:t xml:space="preserve"> identify</w:t>
      </w:r>
      <w:r>
        <w:rPr>
          <w:rFonts w:cs="Arial"/>
        </w:rPr>
        <w:t>ing</w:t>
      </w:r>
      <w:r w:rsidRPr="0025714A">
        <w:rPr>
          <w:rFonts w:cs="Arial"/>
        </w:rPr>
        <w:t xml:space="preserve"> the risk management option that offers the greatest net benefit to the Australian and New Zealand communities. </w:t>
      </w:r>
      <w:r w:rsidR="0062798B">
        <w:rPr>
          <w:rFonts w:cs="Arial"/>
        </w:rPr>
        <w:t xml:space="preserve">The risk management option that is most likely to provide the greatest net benefit to the Australian and New Zealand communities </w:t>
      </w:r>
      <w:r w:rsidR="00701A02">
        <w:rPr>
          <w:rFonts w:cs="Arial"/>
        </w:rPr>
        <w:t>is generally</w:t>
      </w:r>
      <w:r w:rsidR="00701584">
        <w:rPr>
          <w:rFonts w:cs="Arial"/>
        </w:rPr>
        <w:t xml:space="preserve"> recommended as</w:t>
      </w:r>
      <w:r w:rsidR="0062798B">
        <w:rPr>
          <w:rFonts w:cs="Arial"/>
        </w:rPr>
        <w:t xml:space="preserve"> the </w:t>
      </w:r>
      <w:r w:rsidR="00B36D77">
        <w:rPr>
          <w:rFonts w:cs="Arial"/>
        </w:rPr>
        <w:t>p</w:t>
      </w:r>
      <w:r w:rsidR="0062798B">
        <w:rPr>
          <w:rFonts w:cs="Arial"/>
        </w:rPr>
        <w:t>referred option</w:t>
      </w:r>
      <w:r w:rsidR="00BF0C43">
        <w:rPr>
          <w:rFonts w:cs="Arial"/>
        </w:rPr>
        <w:t>.</w:t>
      </w:r>
    </w:p>
    <w:p w14:paraId="16A5E91C" w14:textId="77777777" w:rsidR="00DC0AC6" w:rsidRDefault="00DC0AC6" w:rsidP="00DC0AC6">
      <w:r>
        <w:t>In addition to the administrative COAG requirements, s</w:t>
      </w:r>
      <w:r w:rsidRPr="0025714A">
        <w:t>ection</w:t>
      </w:r>
      <w:r w:rsidR="004D438A">
        <w:t>s</w:t>
      </w:r>
      <w:r w:rsidRPr="0025714A">
        <w:t xml:space="preserve"> </w:t>
      </w:r>
      <w:r w:rsidR="004D438A">
        <w:t xml:space="preserve">29 and </w:t>
      </w:r>
      <w:r w:rsidRPr="0025714A">
        <w:t xml:space="preserve">59 of the </w:t>
      </w:r>
      <w:r w:rsidRPr="000841CF">
        <w:rPr>
          <w:i/>
        </w:rPr>
        <w:t xml:space="preserve">Food Standards Australia New Zealand Act </w:t>
      </w:r>
      <w:r w:rsidRPr="004627C8">
        <w:rPr>
          <w:i/>
        </w:rPr>
        <w:t>1991</w:t>
      </w:r>
      <w:r w:rsidRPr="0025714A">
        <w:t xml:space="preserve"> stipulate</w:t>
      </w:r>
      <w:r w:rsidR="00DB128C">
        <w:t>s</w:t>
      </w:r>
      <w:r w:rsidRPr="0025714A">
        <w:t xml:space="preserve"> that FSANZ </w:t>
      </w:r>
      <w:r w:rsidR="00701584">
        <w:t>must have</w:t>
      </w:r>
      <w:r w:rsidR="00056813">
        <w:t xml:space="preserve"> </w:t>
      </w:r>
      <w:r w:rsidRPr="0025714A">
        <w:t xml:space="preserve">regard to whether the costs that would arise from </w:t>
      </w:r>
      <w:r>
        <w:t xml:space="preserve">a food regulatory measure </w:t>
      </w:r>
      <w:r w:rsidRPr="0025714A">
        <w:t>outweigh the direct and indirect benefits</w:t>
      </w:r>
      <w:r>
        <w:t xml:space="preserve"> to the community, Government</w:t>
      </w:r>
      <w:r w:rsidR="00B36D77">
        <w:t>,</w:t>
      </w:r>
      <w:r>
        <w:t xml:space="preserve"> or industry</w:t>
      </w:r>
      <w:r w:rsidRPr="0025714A">
        <w:rPr>
          <w:rStyle w:val="FootnoteReference"/>
        </w:rPr>
        <w:footnoteReference w:id="4"/>
      </w:r>
      <w:r w:rsidRPr="0025714A">
        <w:t xml:space="preserve">. </w:t>
      </w:r>
    </w:p>
    <w:p w14:paraId="75EC9941" w14:textId="77777777" w:rsidR="00DC0AC6" w:rsidRPr="0025714A" w:rsidRDefault="00DC0AC6" w:rsidP="00DC0AC6">
      <w:r>
        <w:t>The costs and benefits included in the CBA are those that are incurred as a result of adopting the risk management option. That is, from the base case of status quo, it is the additional</w:t>
      </w:r>
      <w:r w:rsidR="00455B91">
        <w:t xml:space="preserve"> or</w:t>
      </w:r>
      <w:r>
        <w:t xml:space="preserve"> incremental, costs and benefits that would arise from the risk management option being incorporated into the existing food regulatory system.</w:t>
      </w:r>
    </w:p>
    <w:p w14:paraId="10C05AC3" w14:textId="77777777" w:rsidR="00D275C8" w:rsidRDefault="00AF552F" w:rsidP="00454872">
      <w:pPr>
        <w:rPr>
          <w:lang w:eastAsia="en-AU"/>
        </w:rPr>
      </w:pPr>
      <w:r>
        <w:rPr>
          <w:lang w:eastAsia="en-AU"/>
        </w:rPr>
        <w:t xml:space="preserve">The </w:t>
      </w:r>
      <w:r w:rsidR="00B36D77">
        <w:rPr>
          <w:lang w:eastAsia="en-AU"/>
        </w:rPr>
        <w:t>p</w:t>
      </w:r>
      <w:r>
        <w:rPr>
          <w:lang w:eastAsia="en-AU"/>
        </w:rPr>
        <w:t>referred risk management option is th</w:t>
      </w:r>
      <w:r w:rsidR="009E3EB2">
        <w:rPr>
          <w:lang w:eastAsia="en-AU"/>
        </w:rPr>
        <w:t>e option</w:t>
      </w:r>
      <w:r>
        <w:rPr>
          <w:lang w:eastAsia="en-AU"/>
        </w:rPr>
        <w:t xml:space="preserve"> </w:t>
      </w:r>
      <w:r w:rsidR="009E3EB2">
        <w:rPr>
          <w:lang w:eastAsia="en-AU"/>
        </w:rPr>
        <w:t>that</w:t>
      </w:r>
      <w:r>
        <w:rPr>
          <w:lang w:eastAsia="en-AU"/>
        </w:rPr>
        <w:t xml:space="preserve"> is most likely to provide the greatest net benefits to the Australian and New Zealand communities. The </w:t>
      </w:r>
      <w:r w:rsidR="009E3EB2">
        <w:rPr>
          <w:lang w:eastAsia="en-AU"/>
        </w:rPr>
        <w:t xml:space="preserve">overall </w:t>
      </w:r>
      <w:r>
        <w:rPr>
          <w:lang w:eastAsia="en-AU"/>
        </w:rPr>
        <w:t xml:space="preserve">net benefit </w:t>
      </w:r>
      <w:r w:rsidR="00931052">
        <w:rPr>
          <w:lang w:eastAsia="en-AU"/>
        </w:rPr>
        <w:t xml:space="preserve">can be </w:t>
      </w:r>
      <w:r w:rsidR="0062798B">
        <w:rPr>
          <w:lang w:eastAsia="en-AU"/>
        </w:rPr>
        <w:t>calculated</w:t>
      </w:r>
      <w:r>
        <w:rPr>
          <w:lang w:eastAsia="en-AU"/>
        </w:rPr>
        <w:t xml:space="preserve"> from the net cost estimates of the government, industry, and consumer segments of the CBA </w:t>
      </w:r>
      <w:r w:rsidRPr="00634AD4">
        <w:rPr>
          <w:lang w:eastAsia="en-AU"/>
        </w:rPr>
        <w:t>(refer appendix 1).</w:t>
      </w:r>
      <w:r>
        <w:rPr>
          <w:lang w:eastAsia="en-AU"/>
        </w:rPr>
        <w:t xml:space="preserve"> </w:t>
      </w:r>
      <w:r w:rsidR="00BC4657">
        <w:rPr>
          <w:lang w:eastAsia="en-AU"/>
        </w:rPr>
        <w:t xml:space="preserve">Improving the accuracy of the net cost estimates of each of the segments is a worthwhile investment of resources where that segment is likely to influence which of the risk management options </w:t>
      </w:r>
      <w:r w:rsidR="00DB14C6">
        <w:rPr>
          <w:lang w:eastAsia="en-AU"/>
        </w:rPr>
        <w:t xml:space="preserve">will </w:t>
      </w:r>
      <w:r w:rsidR="00BC4657">
        <w:rPr>
          <w:lang w:eastAsia="en-AU"/>
        </w:rPr>
        <w:t xml:space="preserve">be the </w:t>
      </w:r>
      <w:r w:rsidR="00C12015">
        <w:rPr>
          <w:lang w:eastAsia="en-AU"/>
        </w:rPr>
        <w:t>p</w:t>
      </w:r>
      <w:r w:rsidR="00BC4657">
        <w:rPr>
          <w:lang w:eastAsia="en-AU"/>
        </w:rPr>
        <w:t>referred option.</w:t>
      </w:r>
    </w:p>
    <w:p w14:paraId="3E669FF7" w14:textId="77777777" w:rsidR="00AF552F" w:rsidRDefault="00BC4657" w:rsidP="00454872">
      <w:pPr>
        <w:rPr>
          <w:lang w:eastAsia="en-AU"/>
        </w:rPr>
      </w:pPr>
      <w:r>
        <w:rPr>
          <w:lang w:eastAsia="en-AU"/>
        </w:rPr>
        <w:t>There are two components of the net cost estimate that influence its significance in a CBA</w:t>
      </w:r>
      <w:r w:rsidR="00931052">
        <w:rPr>
          <w:lang w:eastAsia="en-AU"/>
        </w:rPr>
        <w:t>, namely</w:t>
      </w:r>
      <w:r>
        <w:rPr>
          <w:lang w:eastAsia="en-AU"/>
        </w:rPr>
        <w:t xml:space="preserve"> </w:t>
      </w:r>
      <w:r w:rsidR="008738B0">
        <w:rPr>
          <w:lang w:eastAsia="en-AU"/>
        </w:rPr>
        <w:t>t</w:t>
      </w:r>
      <w:r>
        <w:rPr>
          <w:lang w:eastAsia="en-AU"/>
        </w:rPr>
        <w:t>he magnitude of the net cost estimate in relation to the other segments</w:t>
      </w:r>
      <w:r w:rsidR="00D44327">
        <w:rPr>
          <w:lang w:eastAsia="en-AU"/>
        </w:rPr>
        <w:t>,</w:t>
      </w:r>
      <w:r>
        <w:rPr>
          <w:lang w:eastAsia="en-AU"/>
        </w:rPr>
        <w:t xml:space="preserve"> and the accuracy of the net cost estimate.</w:t>
      </w:r>
      <w:r w:rsidR="00AF552F">
        <w:rPr>
          <w:lang w:eastAsia="en-AU"/>
        </w:rPr>
        <w:t xml:space="preserve"> </w:t>
      </w:r>
      <w:r w:rsidR="008738B0">
        <w:rPr>
          <w:lang w:eastAsia="en-AU"/>
        </w:rPr>
        <w:t xml:space="preserve">Better information often reduces the uncertainty surrounding estimates, however if </w:t>
      </w:r>
      <w:r w:rsidR="00B043DB">
        <w:rPr>
          <w:lang w:eastAsia="en-AU"/>
        </w:rPr>
        <w:t xml:space="preserve">that segment of costs </w:t>
      </w:r>
      <w:r w:rsidR="008738B0">
        <w:rPr>
          <w:lang w:eastAsia="en-AU"/>
        </w:rPr>
        <w:t xml:space="preserve">is already known to be </w:t>
      </w:r>
      <w:r w:rsidR="00B043DB">
        <w:rPr>
          <w:lang w:eastAsia="en-AU"/>
        </w:rPr>
        <w:t xml:space="preserve">immaterial </w:t>
      </w:r>
      <w:r w:rsidR="00D275C8">
        <w:rPr>
          <w:lang w:eastAsia="en-AU"/>
        </w:rPr>
        <w:t>in</w:t>
      </w:r>
      <w:r w:rsidR="00B043DB">
        <w:rPr>
          <w:lang w:eastAsia="en-AU"/>
        </w:rPr>
        <w:t xml:space="preserve"> deciding the </w:t>
      </w:r>
      <w:r w:rsidR="00805808">
        <w:rPr>
          <w:lang w:eastAsia="en-AU"/>
        </w:rPr>
        <w:t>p</w:t>
      </w:r>
      <w:r w:rsidR="00971891">
        <w:rPr>
          <w:lang w:eastAsia="en-AU"/>
        </w:rPr>
        <w:t xml:space="preserve">referred </w:t>
      </w:r>
      <w:r w:rsidR="00B043DB">
        <w:rPr>
          <w:lang w:eastAsia="en-AU"/>
        </w:rPr>
        <w:t>option</w:t>
      </w:r>
      <w:r w:rsidR="00D275C8">
        <w:rPr>
          <w:lang w:eastAsia="en-AU"/>
        </w:rPr>
        <w:t>,</w:t>
      </w:r>
      <w:r w:rsidR="00B043DB">
        <w:rPr>
          <w:lang w:eastAsia="en-AU"/>
        </w:rPr>
        <w:t xml:space="preserve"> then</w:t>
      </w:r>
      <w:r w:rsidR="008738B0">
        <w:rPr>
          <w:lang w:eastAsia="en-AU"/>
        </w:rPr>
        <w:t xml:space="preserve"> the value of the additional information may be negligible.</w:t>
      </w:r>
      <w:r w:rsidR="00D275C8">
        <w:rPr>
          <w:lang w:eastAsia="en-AU"/>
        </w:rPr>
        <w:t xml:space="preserve"> </w:t>
      </w:r>
      <w:r w:rsidR="00AF552F">
        <w:rPr>
          <w:lang w:eastAsia="en-AU"/>
        </w:rPr>
        <w:t>Undertaking a comprehensive CBA process can be time consuming and costly</w:t>
      </w:r>
      <w:r w:rsidR="009011EC">
        <w:rPr>
          <w:lang w:eastAsia="en-AU"/>
        </w:rPr>
        <w:t>,</w:t>
      </w:r>
      <w:r w:rsidR="00D275C8">
        <w:rPr>
          <w:lang w:eastAsia="en-AU"/>
        </w:rPr>
        <w:t xml:space="preserve"> and in </w:t>
      </w:r>
      <w:r w:rsidR="00D275C8">
        <w:t>the context of a tight fiscal environment,</w:t>
      </w:r>
      <w:r w:rsidR="00D275C8">
        <w:rPr>
          <w:lang w:eastAsia="en-AU"/>
        </w:rPr>
        <w:t xml:space="preserve"> it is important that FSANZ allocates resources strategically to where they can</w:t>
      </w:r>
      <w:r w:rsidR="003C5E1D">
        <w:rPr>
          <w:lang w:eastAsia="en-AU"/>
        </w:rPr>
        <w:t xml:space="preserve"> </w:t>
      </w:r>
      <w:r w:rsidR="00C9161D">
        <w:rPr>
          <w:lang w:eastAsia="en-AU"/>
        </w:rPr>
        <w:t xml:space="preserve">most </w:t>
      </w:r>
      <w:r w:rsidR="00A43909">
        <w:rPr>
          <w:lang w:eastAsia="en-AU"/>
        </w:rPr>
        <w:t>efficiently</w:t>
      </w:r>
      <w:r w:rsidR="00D275C8">
        <w:rPr>
          <w:lang w:eastAsia="en-AU"/>
        </w:rPr>
        <w:t xml:space="preserve"> influence regulation design.</w:t>
      </w:r>
    </w:p>
    <w:p w14:paraId="02139842" w14:textId="43B0725C" w:rsidR="00CA68BE" w:rsidRDefault="00B610B7" w:rsidP="00E84754">
      <w:pPr>
        <w:keepLines/>
      </w:pPr>
      <w:r w:rsidRPr="0025714A">
        <w:rPr>
          <w:rFonts w:cs="Arial"/>
        </w:rPr>
        <w:lastRenderedPageBreak/>
        <w:t xml:space="preserve">FSANZ has experienced </w:t>
      </w:r>
      <w:r w:rsidR="00CA68BE">
        <w:rPr>
          <w:rFonts w:cs="Arial"/>
        </w:rPr>
        <w:t>some challenges</w:t>
      </w:r>
      <w:r w:rsidRPr="0025714A">
        <w:rPr>
          <w:rFonts w:cs="Arial"/>
        </w:rPr>
        <w:t xml:space="preserve"> in quantifying</w:t>
      </w:r>
      <w:r w:rsidR="004A4978">
        <w:rPr>
          <w:rFonts w:cs="Arial"/>
        </w:rPr>
        <w:t xml:space="preserve"> the</w:t>
      </w:r>
      <w:r w:rsidRPr="0025714A">
        <w:rPr>
          <w:rFonts w:cs="Arial"/>
        </w:rPr>
        <w:t xml:space="preserve"> </w:t>
      </w:r>
      <w:r w:rsidR="00B252C8">
        <w:rPr>
          <w:rFonts w:cs="Arial"/>
        </w:rPr>
        <w:t>regulatory impact</w:t>
      </w:r>
      <w:r w:rsidR="008F0C19">
        <w:rPr>
          <w:rFonts w:cs="Arial"/>
        </w:rPr>
        <w:t xml:space="preserve"> of Code changes o</w:t>
      </w:r>
      <w:r w:rsidR="00CF7EB5">
        <w:rPr>
          <w:rFonts w:cs="Arial"/>
        </w:rPr>
        <w:t>n</w:t>
      </w:r>
      <w:r w:rsidR="008F0C19">
        <w:rPr>
          <w:rFonts w:cs="Arial"/>
        </w:rPr>
        <w:t xml:space="preserve"> the </w:t>
      </w:r>
      <w:r w:rsidR="003E3BFC">
        <w:rPr>
          <w:rFonts w:cs="Arial"/>
        </w:rPr>
        <w:t>jurisdictions</w:t>
      </w:r>
      <w:r w:rsidR="00B252C8">
        <w:rPr>
          <w:rFonts w:cs="Arial"/>
        </w:rPr>
        <w:t xml:space="preserve">. FSANZ </w:t>
      </w:r>
      <w:r w:rsidR="00CA68BE">
        <w:rPr>
          <w:rFonts w:cs="Arial"/>
        </w:rPr>
        <w:t xml:space="preserve">often </w:t>
      </w:r>
      <w:r w:rsidR="00B252C8">
        <w:rPr>
          <w:rFonts w:cs="Arial"/>
        </w:rPr>
        <w:t xml:space="preserve">receives </w:t>
      </w:r>
      <w:r w:rsidR="00886798">
        <w:rPr>
          <w:rFonts w:cs="Arial"/>
        </w:rPr>
        <w:t>only</w:t>
      </w:r>
      <w:r w:rsidR="0040267D">
        <w:rPr>
          <w:rFonts w:cs="Arial"/>
        </w:rPr>
        <w:t xml:space="preserve"> a</w:t>
      </w:r>
      <w:r w:rsidR="00886798">
        <w:rPr>
          <w:rFonts w:cs="Arial"/>
        </w:rPr>
        <w:t xml:space="preserve"> few submissions, or </w:t>
      </w:r>
      <w:r w:rsidR="00B252C8">
        <w:rPr>
          <w:rFonts w:cs="Arial"/>
        </w:rPr>
        <w:t>limited</w:t>
      </w:r>
      <w:r w:rsidRPr="0025714A">
        <w:rPr>
          <w:rFonts w:cs="Arial"/>
        </w:rPr>
        <w:t xml:space="preserve"> </w:t>
      </w:r>
      <w:r w:rsidR="00886798">
        <w:rPr>
          <w:rFonts w:cs="Arial"/>
        </w:rPr>
        <w:t xml:space="preserve">information in </w:t>
      </w:r>
      <w:r w:rsidRPr="0025714A">
        <w:rPr>
          <w:rFonts w:cs="Arial"/>
        </w:rPr>
        <w:t xml:space="preserve">submissions </w:t>
      </w:r>
      <w:r w:rsidR="00B252C8">
        <w:rPr>
          <w:rFonts w:cs="Arial"/>
        </w:rPr>
        <w:t xml:space="preserve">detailing the </w:t>
      </w:r>
      <w:r w:rsidR="00D34356">
        <w:rPr>
          <w:rFonts w:cs="Arial"/>
        </w:rPr>
        <w:t>a</w:t>
      </w:r>
      <w:r w:rsidR="00FF031F">
        <w:rPr>
          <w:rFonts w:cs="Arial"/>
        </w:rPr>
        <w:t>gencies</w:t>
      </w:r>
      <w:r w:rsidR="00B252C8">
        <w:rPr>
          <w:rFonts w:cs="Arial"/>
        </w:rPr>
        <w:t>’</w:t>
      </w:r>
      <w:r w:rsidR="002E0F06">
        <w:rPr>
          <w:rFonts w:cs="Arial"/>
        </w:rPr>
        <w:t xml:space="preserve"> c</w:t>
      </w:r>
      <w:r w:rsidR="00B252C8" w:rsidRPr="0025714A">
        <w:rPr>
          <w:rFonts w:cs="Arial"/>
        </w:rPr>
        <w:t xml:space="preserve">osts </w:t>
      </w:r>
      <w:r w:rsidR="00B252C8">
        <w:rPr>
          <w:rFonts w:cs="Arial"/>
        </w:rPr>
        <w:t>associated with incorporating Code changes into their food regulatory system</w:t>
      </w:r>
      <w:r w:rsidRPr="0025714A">
        <w:rPr>
          <w:rFonts w:cs="Arial"/>
        </w:rPr>
        <w:t xml:space="preserve">. </w:t>
      </w:r>
    </w:p>
    <w:p w14:paraId="44C4C111" w14:textId="631FFAC0" w:rsidR="002E0F06" w:rsidRDefault="002E0F06" w:rsidP="00DC4CA1">
      <w:r>
        <w:t xml:space="preserve">This </w:t>
      </w:r>
      <w:r w:rsidRPr="0025714A">
        <w:t xml:space="preserve">often means </w:t>
      </w:r>
      <w:r w:rsidR="00886798">
        <w:t xml:space="preserve">that </w:t>
      </w:r>
      <w:r w:rsidRPr="0025714A">
        <w:t xml:space="preserve">FSANZ </w:t>
      </w:r>
      <w:r w:rsidR="00224642">
        <w:t>has to rely</w:t>
      </w:r>
      <w:r w:rsidRPr="0025714A">
        <w:t xml:space="preserve"> on </w:t>
      </w:r>
      <w:r w:rsidR="00886798">
        <w:t xml:space="preserve">limited information that </w:t>
      </w:r>
      <w:r w:rsidR="009F33E7">
        <w:t>is not</w:t>
      </w:r>
      <w:r w:rsidR="00886798">
        <w:t xml:space="preserve"> necessarily </w:t>
      </w:r>
      <w:r w:rsidRPr="0025714A">
        <w:t>representative of all jurisdictions</w:t>
      </w:r>
      <w:r w:rsidR="009F33E7">
        <w:t xml:space="preserve"> and may</w:t>
      </w:r>
      <w:r w:rsidR="00DC4CA1" w:rsidRPr="0025714A">
        <w:t xml:space="preserve"> not </w:t>
      </w:r>
      <w:r w:rsidR="00DC4CA1">
        <w:t>account</w:t>
      </w:r>
      <w:r w:rsidR="00DC4CA1" w:rsidRPr="0025714A">
        <w:t xml:space="preserve"> </w:t>
      </w:r>
      <w:r w:rsidR="00DC4CA1">
        <w:t>for</w:t>
      </w:r>
      <w:r w:rsidR="00DC4CA1" w:rsidRPr="0025714A">
        <w:t xml:space="preserve"> the legitimate variation of </w:t>
      </w:r>
      <w:r w:rsidR="00DC4CA1">
        <w:t xml:space="preserve">net </w:t>
      </w:r>
      <w:r w:rsidR="00DC4CA1" w:rsidRPr="0025714A">
        <w:t>costs between jurisdictions</w:t>
      </w:r>
      <w:r w:rsidR="00886798">
        <w:t xml:space="preserve">. </w:t>
      </w:r>
      <w:r w:rsidR="00B610B7" w:rsidRPr="0025714A">
        <w:t xml:space="preserve">This </w:t>
      </w:r>
      <w:r>
        <w:t xml:space="preserve">makes it difficult to estimate the net costs for the government segment of a CBA, and </w:t>
      </w:r>
      <w:r w:rsidR="009F33E7">
        <w:t xml:space="preserve">to </w:t>
      </w:r>
      <w:r>
        <w:t>determine likely materiality and accuracy</w:t>
      </w:r>
      <w:r w:rsidR="00886798">
        <w:t xml:space="preserve"> of the information provided or generated</w:t>
      </w:r>
      <w:r w:rsidR="009F33E7">
        <w:t>.</w:t>
      </w:r>
    </w:p>
    <w:p w14:paraId="4B2F7FA5" w14:textId="77777777" w:rsidR="00B610B7" w:rsidRDefault="00B610B7" w:rsidP="00B610B7">
      <w:pPr>
        <w:rPr>
          <w:rFonts w:cs="Arial"/>
        </w:rPr>
      </w:pPr>
      <w:r w:rsidRPr="0025714A">
        <w:rPr>
          <w:rFonts w:cs="Arial"/>
        </w:rPr>
        <w:t>Th</w:t>
      </w:r>
      <w:r w:rsidR="008B1682">
        <w:rPr>
          <w:rFonts w:cs="Arial"/>
        </w:rPr>
        <w:t>e</w:t>
      </w:r>
      <w:r w:rsidR="00577081">
        <w:rPr>
          <w:rFonts w:cs="Arial"/>
        </w:rPr>
        <w:t xml:space="preserve"> potential</w:t>
      </w:r>
      <w:r>
        <w:rPr>
          <w:rFonts w:cs="Arial"/>
        </w:rPr>
        <w:t xml:space="preserve"> uncertainty</w:t>
      </w:r>
      <w:r w:rsidR="00577081">
        <w:rPr>
          <w:rFonts w:cs="Arial"/>
        </w:rPr>
        <w:t xml:space="preserve"> </w:t>
      </w:r>
      <w:r w:rsidR="008B1682">
        <w:rPr>
          <w:rFonts w:cs="Arial"/>
        </w:rPr>
        <w:t xml:space="preserve">in quantifying government costs </w:t>
      </w:r>
      <w:r w:rsidR="00577081">
        <w:rPr>
          <w:rFonts w:cs="Arial"/>
        </w:rPr>
        <w:t>could</w:t>
      </w:r>
      <w:r w:rsidR="00056813">
        <w:rPr>
          <w:rFonts w:cs="Arial"/>
        </w:rPr>
        <w:t>,</w:t>
      </w:r>
      <w:r w:rsidR="00577081">
        <w:rPr>
          <w:rFonts w:cs="Arial"/>
        </w:rPr>
        <w:t xml:space="preserve"> in some instances</w:t>
      </w:r>
      <w:r w:rsidR="00056813">
        <w:rPr>
          <w:rFonts w:cs="Arial"/>
        </w:rPr>
        <w:t>,</w:t>
      </w:r>
      <w:r w:rsidRPr="0025714A">
        <w:rPr>
          <w:rFonts w:cs="Arial"/>
        </w:rPr>
        <w:t xml:space="preserve"> limit FSANZ’s ability to accurately evaluate </w:t>
      </w:r>
      <w:r w:rsidR="004A4978">
        <w:rPr>
          <w:rFonts w:cs="Arial"/>
        </w:rPr>
        <w:t xml:space="preserve">proposed changes to the Code and </w:t>
      </w:r>
      <w:r w:rsidR="00886798">
        <w:rPr>
          <w:rFonts w:cs="Arial"/>
        </w:rPr>
        <w:t xml:space="preserve">thus </w:t>
      </w:r>
      <w:r w:rsidR="004A4978">
        <w:rPr>
          <w:rFonts w:cs="Arial"/>
        </w:rPr>
        <w:t>optimise regulation de</w:t>
      </w:r>
      <w:r w:rsidR="00601E57">
        <w:rPr>
          <w:rFonts w:cs="Arial"/>
        </w:rPr>
        <w:t>sign</w:t>
      </w:r>
      <w:r w:rsidRPr="0025714A">
        <w:rPr>
          <w:rFonts w:cs="Arial"/>
        </w:rPr>
        <w:t>.</w:t>
      </w:r>
    </w:p>
    <w:p w14:paraId="7840BEF2" w14:textId="77777777" w:rsidR="008B1682" w:rsidRDefault="008B1682" w:rsidP="00BB301C">
      <w:pPr>
        <w:pStyle w:val="Heading2"/>
      </w:pPr>
      <w:bookmarkStart w:id="8" w:name="_Toc469999989"/>
      <w:bookmarkStart w:id="9" w:name="_Toc482357184"/>
      <w:r>
        <w:t>Background</w:t>
      </w:r>
      <w:bookmarkEnd w:id="8"/>
      <w:bookmarkEnd w:id="9"/>
    </w:p>
    <w:p w14:paraId="66EA3A3B" w14:textId="77777777" w:rsidR="0063458F" w:rsidRDefault="00577081" w:rsidP="00C72CF4">
      <w:r w:rsidRPr="002560B4">
        <w:t>FSANZ was contracted by the Department of Health to develop an activity</w:t>
      </w:r>
      <w:r w:rsidR="00FF4633">
        <w:t>-</w:t>
      </w:r>
      <w:r w:rsidRPr="002560B4">
        <w:t>based costing model for government costs</w:t>
      </w:r>
      <w:r w:rsidR="009F33E7">
        <w:t xml:space="preserve"> in o</w:t>
      </w:r>
      <w:r w:rsidR="00FB5297">
        <w:t xml:space="preserve">rder to </w:t>
      </w:r>
      <w:r w:rsidRPr="002560B4">
        <w:t xml:space="preserve">inform the response </w:t>
      </w:r>
      <w:r w:rsidR="009F33E7">
        <w:t>to</w:t>
      </w:r>
      <w:r w:rsidRPr="002560B4">
        <w:t xml:space="preserve"> the Australia and New Zealand Ministerial Forum on Food Regulation (the Forum) to the Review of Food Labelling Law and Policy.</w:t>
      </w:r>
    </w:p>
    <w:p w14:paraId="42C8CE10" w14:textId="1F854B42" w:rsidR="004577F9" w:rsidRDefault="004577F9" w:rsidP="00C72CF4">
      <w:pPr>
        <w:rPr>
          <w:lang w:eastAsia="en-AU"/>
        </w:rPr>
      </w:pPr>
      <w:r w:rsidRPr="00C72CF4">
        <w:rPr>
          <w:lang w:eastAsia="en-AU"/>
        </w:rPr>
        <w:t xml:space="preserve">FSANZ </w:t>
      </w:r>
      <w:r w:rsidR="00FB5297" w:rsidRPr="00C72CF4">
        <w:rPr>
          <w:lang w:eastAsia="en-AU"/>
        </w:rPr>
        <w:t xml:space="preserve">thus </w:t>
      </w:r>
      <w:r w:rsidRPr="00C72CF4">
        <w:rPr>
          <w:lang w:eastAsia="en-AU"/>
        </w:rPr>
        <w:t>undert</w:t>
      </w:r>
      <w:r w:rsidR="00FB5297" w:rsidRPr="00C72CF4">
        <w:rPr>
          <w:lang w:eastAsia="en-AU"/>
        </w:rPr>
        <w:t>ook</w:t>
      </w:r>
      <w:r w:rsidRPr="00C72CF4">
        <w:rPr>
          <w:lang w:eastAsia="en-AU"/>
        </w:rPr>
        <w:t xml:space="preserve"> a project to develop a Government Implementation </w:t>
      </w:r>
      <w:r w:rsidR="00C7037A" w:rsidRPr="00C72CF4">
        <w:rPr>
          <w:lang w:eastAsia="en-AU"/>
        </w:rPr>
        <w:t xml:space="preserve">Cost </w:t>
      </w:r>
      <w:r w:rsidR="00FF031F">
        <w:rPr>
          <w:lang w:eastAsia="en-AU"/>
        </w:rPr>
        <w:t>Framework</w:t>
      </w:r>
      <w:r w:rsidR="0063744D" w:rsidRPr="00C72CF4">
        <w:rPr>
          <w:lang w:eastAsia="en-AU"/>
        </w:rPr>
        <w:t xml:space="preserve"> (the </w:t>
      </w:r>
      <w:r w:rsidR="00D34356">
        <w:rPr>
          <w:lang w:eastAsia="en-AU"/>
        </w:rPr>
        <w:t>f</w:t>
      </w:r>
      <w:r w:rsidR="00FF031F">
        <w:rPr>
          <w:lang w:eastAsia="en-AU"/>
        </w:rPr>
        <w:t>ramework</w:t>
      </w:r>
      <w:r w:rsidR="0063744D" w:rsidRPr="00C72CF4">
        <w:rPr>
          <w:lang w:eastAsia="en-AU"/>
        </w:rPr>
        <w:t>)</w:t>
      </w:r>
      <w:r w:rsidR="00FB5297" w:rsidRPr="00C72CF4">
        <w:rPr>
          <w:lang w:eastAsia="en-AU"/>
        </w:rPr>
        <w:t xml:space="preserve"> to assist </w:t>
      </w:r>
      <w:r w:rsidR="008B3CAE" w:rsidRPr="00C72CF4">
        <w:rPr>
          <w:lang w:eastAsia="en-AU"/>
        </w:rPr>
        <w:t xml:space="preserve">in determining if the </w:t>
      </w:r>
      <w:r w:rsidR="00817C4A">
        <w:rPr>
          <w:lang w:eastAsia="en-AU"/>
        </w:rPr>
        <w:t>j</w:t>
      </w:r>
      <w:r w:rsidR="007151DE" w:rsidRPr="00C72CF4">
        <w:rPr>
          <w:lang w:eastAsia="en-AU"/>
        </w:rPr>
        <w:t>urisdictions’</w:t>
      </w:r>
      <w:r w:rsidR="008B3CAE" w:rsidRPr="00C72CF4">
        <w:rPr>
          <w:lang w:eastAsia="en-AU"/>
        </w:rPr>
        <w:t xml:space="preserve"> costs</w:t>
      </w:r>
      <w:r w:rsidR="008B3CAE">
        <w:rPr>
          <w:lang w:eastAsia="en-AU"/>
        </w:rPr>
        <w:t xml:space="preserve"> </w:t>
      </w:r>
      <w:r w:rsidR="00FB5297">
        <w:rPr>
          <w:lang w:eastAsia="en-AU"/>
        </w:rPr>
        <w:t>are likely to be</w:t>
      </w:r>
      <w:r w:rsidR="008B3CAE">
        <w:rPr>
          <w:lang w:eastAsia="en-AU"/>
        </w:rPr>
        <w:t xml:space="preserve"> material</w:t>
      </w:r>
      <w:r w:rsidR="00577081">
        <w:rPr>
          <w:lang w:eastAsia="en-AU"/>
        </w:rPr>
        <w:t xml:space="preserve"> to decision</w:t>
      </w:r>
      <w:r w:rsidR="00EC740F">
        <w:rPr>
          <w:lang w:eastAsia="en-AU"/>
        </w:rPr>
        <w:t>-</w:t>
      </w:r>
      <w:r w:rsidR="00577081">
        <w:rPr>
          <w:lang w:eastAsia="en-AU"/>
        </w:rPr>
        <w:t>making</w:t>
      </w:r>
      <w:r w:rsidR="008B3CAE">
        <w:rPr>
          <w:lang w:eastAsia="en-AU"/>
        </w:rPr>
        <w:t xml:space="preserve"> and, if so, </w:t>
      </w:r>
      <w:r w:rsidR="00FB5297">
        <w:rPr>
          <w:lang w:eastAsia="en-AU"/>
        </w:rPr>
        <w:t xml:space="preserve">to </w:t>
      </w:r>
      <w:r w:rsidR="008B3CAE">
        <w:rPr>
          <w:lang w:eastAsia="en-AU"/>
        </w:rPr>
        <w:t>estimat</w:t>
      </w:r>
      <w:r w:rsidR="00C72CF4">
        <w:rPr>
          <w:lang w:eastAsia="en-AU"/>
        </w:rPr>
        <w:t>e</w:t>
      </w:r>
      <w:r w:rsidR="008B3CAE">
        <w:rPr>
          <w:lang w:eastAsia="en-AU"/>
        </w:rPr>
        <w:t xml:space="preserve"> the size of the jurisdiction’s net cost. The </w:t>
      </w:r>
      <w:r w:rsidR="00D34356">
        <w:rPr>
          <w:lang w:eastAsia="en-AU"/>
        </w:rPr>
        <w:t>f</w:t>
      </w:r>
      <w:r w:rsidR="00FF031F">
        <w:rPr>
          <w:lang w:eastAsia="en-AU"/>
        </w:rPr>
        <w:t>ramework</w:t>
      </w:r>
      <w:r w:rsidR="008B3CAE">
        <w:rPr>
          <w:lang w:eastAsia="en-AU"/>
        </w:rPr>
        <w:t xml:space="preserve"> comprise</w:t>
      </w:r>
      <w:r w:rsidR="00C72CF4">
        <w:rPr>
          <w:lang w:eastAsia="en-AU"/>
        </w:rPr>
        <w:t>s:</w:t>
      </w:r>
    </w:p>
    <w:p w14:paraId="2C96137B" w14:textId="57A4E224" w:rsidR="004577F9" w:rsidRDefault="00FB5297" w:rsidP="004A6D71">
      <w:pPr>
        <w:pStyle w:val="FSBullet1"/>
        <w:rPr>
          <w:lang w:eastAsia="en-AU"/>
        </w:rPr>
      </w:pPr>
      <w:r>
        <w:rPr>
          <w:lang w:eastAsia="en-AU"/>
        </w:rPr>
        <w:t>a</w:t>
      </w:r>
      <w:r w:rsidR="00A97B00">
        <w:rPr>
          <w:lang w:eastAsia="en-AU"/>
        </w:rPr>
        <w:t>n i</w:t>
      </w:r>
      <w:r w:rsidR="00DF6ED2">
        <w:rPr>
          <w:lang w:eastAsia="en-AU"/>
        </w:rPr>
        <w:t>ndicative</w:t>
      </w:r>
      <w:r w:rsidR="00577081">
        <w:rPr>
          <w:lang w:eastAsia="en-AU"/>
        </w:rPr>
        <w:t xml:space="preserve"> materiality</w:t>
      </w:r>
      <w:r w:rsidR="00DF6ED2">
        <w:rPr>
          <w:lang w:eastAsia="en-AU"/>
        </w:rPr>
        <w:t xml:space="preserve"> decision tool</w:t>
      </w:r>
      <w:r w:rsidR="0063744D">
        <w:rPr>
          <w:lang w:eastAsia="en-AU"/>
        </w:rPr>
        <w:t xml:space="preserve"> (</w:t>
      </w:r>
      <w:r w:rsidR="00D34356">
        <w:rPr>
          <w:lang w:eastAsia="en-AU"/>
        </w:rPr>
        <w:t>m</w:t>
      </w:r>
      <w:r w:rsidR="0063744D">
        <w:rPr>
          <w:lang w:eastAsia="en-AU"/>
        </w:rPr>
        <w:t>ateriality tool)</w:t>
      </w:r>
      <w:r w:rsidR="00DF6ED2">
        <w:rPr>
          <w:lang w:eastAsia="en-AU"/>
        </w:rPr>
        <w:t xml:space="preserve"> which is a q</w:t>
      </w:r>
      <w:r w:rsidR="007358FE">
        <w:rPr>
          <w:lang w:eastAsia="en-AU"/>
        </w:rPr>
        <w:t xml:space="preserve">ualitative </w:t>
      </w:r>
      <w:r w:rsidR="00A97B00">
        <w:rPr>
          <w:lang w:eastAsia="en-AU"/>
        </w:rPr>
        <w:t xml:space="preserve">assessment of the likelihood that </w:t>
      </w:r>
      <w:r w:rsidR="007358FE">
        <w:rPr>
          <w:lang w:eastAsia="en-AU"/>
        </w:rPr>
        <w:t xml:space="preserve">the jurisdictions’ cost of implementing food regulation </w:t>
      </w:r>
      <w:r w:rsidR="00A97B00">
        <w:rPr>
          <w:lang w:eastAsia="en-AU"/>
        </w:rPr>
        <w:t>will</w:t>
      </w:r>
      <w:r w:rsidR="007358FE">
        <w:rPr>
          <w:lang w:eastAsia="en-AU"/>
        </w:rPr>
        <w:t xml:space="preserve"> be material</w:t>
      </w:r>
      <w:r w:rsidR="00D44327">
        <w:rPr>
          <w:lang w:eastAsia="en-AU"/>
        </w:rPr>
        <w:t xml:space="preserve"> for </w:t>
      </w:r>
      <w:r w:rsidR="00577081">
        <w:rPr>
          <w:lang w:eastAsia="en-AU"/>
        </w:rPr>
        <w:t>each</w:t>
      </w:r>
      <w:r w:rsidR="00D44327">
        <w:rPr>
          <w:lang w:eastAsia="en-AU"/>
        </w:rPr>
        <w:t xml:space="preserve"> specific risk management </w:t>
      </w:r>
      <w:r w:rsidR="00455B91">
        <w:rPr>
          <w:lang w:eastAsia="en-AU"/>
        </w:rPr>
        <w:t>option</w:t>
      </w:r>
    </w:p>
    <w:p w14:paraId="14761D18" w14:textId="080CEB93" w:rsidR="007358FE" w:rsidRDefault="00FB5297" w:rsidP="004A6D71">
      <w:pPr>
        <w:pStyle w:val="FSBullet1"/>
        <w:rPr>
          <w:lang w:eastAsia="en-AU"/>
        </w:rPr>
      </w:pPr>
      <w:r>
        <w:rPr>
          <w:lang w:eastAsia="en-AU"/>
        </w:rPr>
        <w:t>a</w:t>
      </w:r>
      <w:r w:rsidR="00A97B00">
        <w:rPr>
          <w:lang w:eastAsia="en-AU"/>
        </w:rPr>
        <w:t xml:space="preserve"> c</w:t>
      </w:r>
      <w:r w:rsidR="0028327C">
        <w:rPr>
          <w:lang w:eastAsia="en-AU"/>
        </w:rPr>
        <w:t xml:space="preserve">osting </w:t>
      </w:r>
      <w:r w:rsidR="006862F6">
        <w:rPr>
          <w:lang w:eastAsia="en-AU"/>
        </w:rPr>
        <w:t>tool</w:t>
      </w:r>
      <w:r w:rsidR="0063744D">
        <w:rPr>
          <w:lang w:eastAsia="en-AU"/>
        </w:rPr>
        <w:t xml:space="preserve"> </w:t>
      </w:r>
      <w:r w:rsidR="005244A2">
        <w:rPr>
          <w:lang w:eastAsia="en-AU"/>
        </w:rPr>
        <w:t>for calculating</w:t>
      </w:r>
      <w:r w:rsidR="0028327C">
        <w:rPr>
          <w:lang w:eastAsia="en-AU"/>
        </w:rPr>
        <w:t xml:space="preserve"> a q</w:t>
      </w:r>
      <w:r w:rsidR="007358FE">
        <w:rPr>
          <w:lang w:eastAsia="en-AU"/>
        </w:rPr>
        <w:t xml:space="preserve">uantitative estimation </w:t>
      </w:r>
      <w:r w:rsidR="0028327C">
        <w:rPr>
          <w:lang w:eastAsia="en-AU"/>
        </w:rPr>
        <w:t>of the</w:t>
      </w:r>
      <w:r w:rsidR="007358FE">
        <w:rPr>
          <w:lang w:eastAsia="en-AU"/>
        </w:rPr>
        <w:t xml:space="preserve"> net cost</w:t>
      </w:r>
      <w:r w:rsidR="0028327C">
        <w:rPr>
          <w:lang w:eastAsia="en-AU"/>
        </w:rPr>
        <w:t>s</w:t>
      </w:r>
      <w:r w:rsidR="007358FE">
        <w:rPr>
          <w:lang w:eastAsia="en-AU"/>
        </w:rPr>
        <w:t xml:space="preserve"> </w:t>
      </w:r>
      <w:r w:rsidR="00D44327">
        <w:rPr>
          <w:lang w:eastAsia="en-AU"/>
        </w:rPr>
        <w:t>for each jurisdiction for the specific risk management option</w:t>
      </w:r>
      <w:r w:rsidR="00A43909">
        <w:rPr>
          <w:lang w:eastAsia="en-AU"/>
        </w:rPr>
        <w:t>, if the indicative decision tool suggests a material cost of implementation</w:t>
      </w:r>
      <w:r w:rsidR="007358FE">
        <w:rPr>
          <w:lang w:eastAsia="en-AU"/>
        </w:rPr>
        <w:t xml:space="preserve">. </w:t>
      </w:r>
      <w:r w:rsidR="00285EDE" w:rsidRPr="002560B4">
        <w:t xml:space="preserve">The values calculated by the </w:t>
      </w:r>
      <w:r w:rsidR="00D34356">
        <w:t>c</w:t>
      </w:r>
      <w:r w:rsidR="00285EDE">
        <w:t xml:space="preserve">osting tool </w:t>
      </w:r>
      <w:r w:rsidR="00285EDE" w:rsidRPr="002560B4">
        <w:t xml:space="preserve">will act as </w:t>
      </w:r>
      <w:r w:rsidR="00285EDE">
        <w:t xml:space="preserve">a </w:t>
      </w:r>
      <w:r w:rsidR="00285EDE" w:rsidRPr="002560B4">
        <w:t>starting point</w:t>
      </w:r>
      <w:r w:rsidR="00285EDE">
        <w:t xml:space="preserve"> for consultation with the jurisdictions.</w:t>
      </w:r>
    </w:p>
    <w:p w14:paraId="1246D92B" w14:textId="72B62CD5" w:rsidR="00B201E8" w:rsidRDefault="00FB5297" w:rsidP="0023742F">
      <w:pPr>
        <w:keepLines/>
        <w:rPr>
          <w:rFonts w:cs="Arial"/>
        </w:rPr>
      </w:pPr>
      <w:r>
        <w:rPr>
          <w:rFonts w:cs="Arial"/>
        </w:rPr>
        <w:t xml:space="preserve">The </w:t>
      </w:r>
      <w:r w:rsidR="00577081">
        <w:rPr>
          <w:rFonts w:cs="Arial"/>
        </w:rPr>
        <w:t xml:space="preserve">development process of the </w:t>
      </w:r>
      <w:r w:rsidR="00D34356">
        <w:rPr>
          <w:rFonts w:cs="Arial"/>
        </w:rPr>
        <w:t>f</w:t>
      </w:r>
      <w:r w:rsidR="00FF031F">
        <w:rPr>
          <w:rFonts w:cs="Arial"/>
        </w:rPr>
        <w:t>ramework</w:t>
      </w:r>
      <w:r w:rsidR="00C46CC5">
        <w:rPr>
          <w:rFonts w:cs="Arial"/>
        </w:rPr>
        <w:t xml:space="preserve"> and its possible futur</w:t>
      </w:r>
      <w:r w:rsidR="00577081">
        <w:rPr>
          <w:rFonts w:cs="Arial"/>
        </w:rPr>
        <w:t>e</w:t>
      </w:r>
      <w:r w:rsidR="0094007F">
        <w:rPr>
          <w:rFonts w:cs="Arial"/>
        </w:rPr>
        <w:t xml:space="preserve"> </w:t>
      </w:r>
      <w:r>
        <w:rPr>
          <w:rFonts w:cs="Arial"/>
        </w:rPr>
        <w:t xml:space="preserve">is </w:t>
      </w:r>
      <w:r w:rsidR="00C72CF4">
        <w:rPr>
          <w:rFonts w:cs="Arial"/>
        </w:rPr>
        <w:t xml:space="preserve">set out </w:t>
      </w:r>
      <w:r w:rsidR="00B52994">
        <w:rPr>
          <w:rFonts w:cs="Arial"/>
        </w:rPr>
        <w:t>below</w:t>
      </w:r>
      <w:r w:rsidR="00AF20B3">
        <w:rPr>
          <w:rFonts w:cs="Arial"/>
        </w:rPr>
        <w:t>.</w:t>
      </w:r>
    </w:p>
    <w:p w14:paraId="430609FB" w14:textId="4B4438A3" w:rsidR="0094007F" w:rsidRDefault="00FB5297" w:rsidP="0023742F">
      <w:pPr>
        <w:keepLines/>
        <w:rPr>
          <w:rFonts w:cs="Arial"/>
        </w:rPr>
      </w:pPr>
      <w:r>
        <w:rPr>
          <w:rFonts w:cs="Arial"/>
        </w:rPr>
        <w:t xml:space="preserve">This paper </w:t>
      </w:r>
      <w:r w:rsidR="00224642">
        <w:rPr>
          <w:rFonts w:cs="Arial"/>
        </w:rPr>
        <w:t>has the following</w:t>
      </w:r>
      <w:r>
        <w:rPr>
          <w:rFonts w:cs="Arial"/>
        </w:rPr>
        <w:t xml:space="preserve"> </w:t>
      </w:r>
      <w:r w:rsidR="00C72CF4">
        <w:rPr>
          <w:rFonts w:cs="Arial"/>
        </w:rPr>
        <w:t xml:space="preserve">narrative </w:t>
      </w:r>
      <w:r>
        <w:rPr>
          <w:rFonts w:cs="Arial"/>
        </w:rPr>
        <w:t>structure.</w:t>
      </w:r>
    </w:p>
    <w:p w14:paraId="59B9C756" w14:textId="3CACFD89" w:rsidR="00E46F3E" w:rsidRPr="00FB5297" w:rsidRDefault="00FB5297" w:rsidP="005778C8">
      <w:pPr>
        <w:pStyle w:val="ListParagraph"/>
        <w:keepLines/>
        <w:numPr>
          <w:ilvl w:val="0"/>
          <w:numId w:val="10"/>
        </w:numPr>
        <w:rPr>
          <w:rFonts w:cs="Arial"/>
        </w:rPr>
      </w:pPr>
      <w:r w:rsidRPr="00C72CF4">
        <w:rPr>
          <w:rFonts w:cs="Arial"/>
          <w:i/>
        </w:rPr>
        <w:t>R</w:t>
      </w:r>
      <w:r w:rsidR="00E46F3E" w:rsidRPr="00C72CF4">
        <w:rPr>
          <w:rFonts w:cs="Arial"/>
          <w:i/>
        </w:rPr>
        <w:t xml:space="preserve">esearch </w:t>
      </w:r>
      <w:r w:rsidR="00E16AE0" w:rsidRPr="00C72CF4">
        <w:rPr>
          <w:rFonts w:cs="Arial"/>
          <w:i/>
        </w:rPr>
        <w:t>o</w:t>
      </w:r>
      <w:r w:rsidR="00E46F3E" w:rsidRPr="00C72CF4">
        <w:rPr>
          <w:rFonts w:cs="Arial"/>
          <w:i/>
        </w:rPr>
        <w:t xml:space="preserve">bjective, </w:t>
      </w:r>
      <w:r w:rsidR="00E16AE0" w:rsidRPr="00C72CF4">
        <w:rPr>
          <w:rFonts w:cs="Arial"/>
          <w:i/>
        </w:rPr>
        <w:t>d</w:t>
      </w:r>
      <w:r w:rsidR="00E46F3E" w:rsidRPr="00C72CF4">
        <w:rPr>
          <w:rFonts w:cs="Arial"/>
          <w:i/>
        </w:rPr>
        <w:t xml:space="preserve">esign and </w:t>
      </w:r>
      <w:r w:rsidR="00E16AE0" w:rsidRPr="00C72CF4">
        <w:rPr>
          <w:rFonts w:cs="Arial"/>
          <w:i/>
        </w:rPr>
        <w:t>information g</w:t>
      </w:r>
      <w:r w:rsidR="00E46F3E" w:rsidRPr="00C72CF4">
        <w:rPr>
          <w:rFonts w:cs="Arial"/>
          <w:i/>
        </w:rPr>
        <w:t xml:space="preserve">athering </w:t>
      </w:r>
      <w:r w:rsidR="00E16AE0" w:rsidRPr="00C72CF4">
        <w:rPr>
          <w:rFonts w:cs="Arial"/>
          <w:i/>
        </w:rPr>
        <w:t>p</w:t>
      </w:r>
      <w:r w:rsidR="00E46F3E" w:rsidRPr="00C72CF4">
        <w:rPr>
          <w:rFonts w:cs="Arial"/>
          <w:i/>
        </w:rPr>
        <w:t>rocess</w:t>
      </w:r>
      <w:r w:rsidR="00FE49BF" w:rsidRPr="00FB5297">
        <w:rPr>
          <w:rFonts w:cs="Arial"/>
        </w:rPr>
        <w:t>. This section</w:t>
      </w:r>
      <w:r w:rsidR="0021725B" w:rsidRPr="00FB5297">
        <w:rPr>
          <w:rFonts w:cs="Arial"/>
        </w:rPr>
        <w:t xml:space="preserve"> discusses the</w:t>
      </w:r>
      <w:r w:rsidR="00977BFE" w:rsidRPr="00FB5297">
        <w:rPr>
          <w:rFonts w:cs="Arial"/>
        </w:rPr>
        <w:t xml:space="preserve"> objectives </w:t>
      </w:r>
      <w:r w:rsidR="00502790" w:rsidRPr="00FB5297">
        <w:rPr>
          <w:rFonts w:cs="Arial"/>
        </w:rPr>
        <w:t>in developing a Government Implementation</w:t>
      </w:r>
      <w:r w:rsidR="00C7037A" w:rsidRPr="00FB5297">
        <w:rPr>
          <w:rFonts w:cs="Arial"/>
        </w:rPr>
        <w:t xml:space="preserve"> Cost</w:t>
      </w:r>
      <w:r w:rsidR="00502790" w:rsidRPr="00FB5297">
        <w:rPr>
          <w:rFonts w:cs="Arial"/>
        </w:rPr>
        <w:t xml:space="preserve"> </w:t>
      </w:r>
      <w:r w:rsidR="00FF031F">
        <w:rPr>
          <w:rFonts w:cs="Arial"/>
        </w:rPr>
        <w:t>Framework</w:t>
      </w:r>
      <w:r w:rsidR="00502790" w:rsidRPr="00FB5297">
        <w:rPr>
          <w:rFonts w:cs="Arial"/>
        </w:rPr>
        <w:t xml:space="preserve"> </w:t>
      </w:r>
      <w:r w:rsidR="00977BFE" w:rsidRPr="00FB5297">
        <w:rPr>
          <w:rFonts w:cs="Arial"/>
        </w:rPr>
        <w:t>and</w:t>
      </w:r>
      <w:r w:rsidR="00502790" w:rsidRPr="00FB5297">
        <w:rPr>
          <w:rFonts w:cs="Arial"/>
        </w:rPr>
        <w:t xml:space="preserve"> the project</w:t>
      </w:r>
      <w:r w:rsidR="00977BFE" w:rsidRPr="00FB5297">
        <w:rPr>
          <w:rFonts w:cs="Arial"/>
        </w:rPr>
        <w:t xml:space="preserve"> methodology</w:t>
      </w:r>
      <w:r>
        <w:rPr>
          <w:rFonts w:cs="Arial"/>
        </w:rPr>
        <w:t>.</w:t>
      </w:r>
    </w:p>
    <w:p w14:paraId="47211053" w14:textId="08D00E24" w:rsidR="00DF6ED2" w:rsidRDefault="00E46F3E" w:rsidP="005778C8">
      <w:pPr>
        <w:pStyle w:val="ListParagraph"/>
        <w:keepLines/>
        <w:numPr>
          <w:ilvl w:val="0"/>
          <w:numId w:val="10"/>
        </w:numPr>
      </w:pPr>
      <w:r w:rsidRPr="00C72CF4">
        <w:rPr>
          <w:rFonts w:cs="Arial"/>
          <w:i/>
        </w:rPr>
        <w:t xml:space="preserve">Consideration of </w:t>
      </w:r>
      <w:r w:rsidR="00D34356">
        <w:rPr>
          <w:rFonts w:cs="Arial"/>
          <w:i/>
        </w:rPr>
        <w:t>a</w:t>
      </w:r>
      <w:r w:rsidR="00FF031F">
        <w:rPr>
          <w:rFonts w:cs="Arial"/>
          <w:i/>
        </w:rPr>
        <w:t>gency</w:t>
      </w:r>
      <w:r w:rsidRPr="00C72CF4">
        <w:rPr>
          <w:rFonts w:cs="Arial"/>
          <w:i/>
        </w:rPr>
        <w:t xml:space="preserve"> implementation activities</w:t>
      </w:r>
      <w:r w:rsidR="00DF6ED2" w:rsidRPr="00C72CF4">
        <w:rPr>
          <w:rFonts w:cs="Arial"/>
          <w:i/>
        </w:rPr>
        <w:t>.</w:t>
      </w:r>
      <w:r w:rsidR="00DF6ED2">
        <w:rPr>
          <w:rFonts w:cs="Arial"/>
        </w:rPr>
        <w:t xml:space="preserve"> This section discusses the typical activities that </w:t>
      </w:r>
      <w:r w:rsidR="00D34356">
        <w:rPr>
          <w:rFonts w:cs="Arial"/>
        </w:rPr>
        <w:t>a</w:t>
      </w:r>
      <w:r w:rsidR="00FF031F">
        <w:rPr>
          <w:rFonts w:cs="Arial"/>
        </w:rPr>
        <w:t>gencies</w:t>
      </w:r>
      <w:r w:rsidR="00DF6ED2">
        <w:rPr>
          <w:rFonts w:cs="Arial"/>
        </w:rPr>
        <w:t xml:space="preserve"> undertake</w:t>
      </w:r>
      <w:r w:rsidRPr="00E46F3E">
        <w:rPr>
          <w:rFonts w:cs="Arial"/>
        </w:rPr>
        <w:t xml:space="preserve"> </w:t>
      </w:r>
      <w:r w:rsidR="00DF6ED2">
        <w:rPr>
          <w:rFonts w:cs="Arial"/>
        </w:rPr>
        <w:t xml:space="preserve">when incorporating new food regulation into the jurisdiction’s food regulatory system. The section also discusses which of these activities is appropriate to be captured in FSANZ </w:t>
      </w:r>
      <w:r w:rsidR="002D6305">
        <w:rPr>
          <w:rFonts w:cs="Arial"/>
        </w:rPr>
        <w:t>regulatory impact analysis</w:t>
      </w:r>
      <w:r w:rsidR="00FB5297">
        <w:rPr>
          <w:rFonts w:cs="Arial"/>
        </w:rPr>
        <w:t>.</w:t>
      </w:r>
    </w:p>
    <w:p w14:paraId="5A7C1113" w14:textId="50FFDC96" w:rsidR="00E46F3E" w:rsidRDefault="00E46F3E" w:rsidP="005778C8">
      <w:pPr>
        <w:pStyle w:val="ListParagraph"/>
        <w:keepLines/>
        <w:numPr>
          <w:ilvl w:val="0"/>
          <w:numId w:val="10"/>
        </w:numPr>
        <w:rPr>
          <w:rFonts w:cs="Arial"/>
        </w:rPr>
      </w:pPr>
      <w:r w:rsidRPr="00C72CF4">
        <w:rPr>
          <w:rFonts w:cs="Arial"/>
          <w:i/>
        </w:rPr>
        <w:t xml:space="preserve">Government </w:t>
      </w:r>
      <w:r w:rsidR="00E16AE0" w:rsidRPr="00C72CF4">
        <w:rPr>
          <w:rFonts w:cs="Arial"/>
          <w:i/>
        </w:rPr>
        <w:t xml:space="preserve">Implementation </w:t>
      </w:r>
      <w:r w:rsidRPr="00C72CF4">
        <w:rPr>
          <w:rFonts w:cs="Arial"/>
          <w:i/>
        </w:rPr>
        <w:t xml:space="preserve">Cost </w:t>
      </w:r>
      <w:r w:rsidR="00FF031F">
        <w:rPr>
          <w:rFonts w:cs="Arial"/>
          <w:i/>
        </w:rPr>
        <w:t>Framework</w:t>
      </w:r>
      <w:r w:rsidR="00DF6ED2" w:rsidRPr="00C72CF4">
        <w:rPr>
          <w:rFonts w:cs="Arial"/>
          <w:i/>
        </w:rPr>
        <w:t>.</w:t>
      </w:r>
      <w:r w:rsidR="00DF6ED2">
        <w:rPr>
          <w:rFonts w:cs="Arial"/>
        </w:rPr>
        <w:t xml:space="preserve"> This section outlines the </w:t>
      </w:r>
      <w:r w:rsidR="00D34356">
        <w:rPr>
          <w:rFonts w:cs="Arial"/>
        </w:rPr>
        <w:t>f</w:t>
      </w:r>
      <w:r w:rsidR="00FF031F">
        <w:rPr>
          <w:rFonts w:cs="Arial"/>
        </w:rPr>
        <w:t>ramework</w:t>
      </w:r>
      <w:r w:rsidR="00C16F59">
        <w:rPr>
          <w:rFonts w:cs="Arial"/>
        </w:rPr>
        <w:t xml:space="preserve"> and the two tools it comprises. It also discusses how the </w:t>
      </w:r>
      <w:r w:rsidR="00D34356">
        <w:rPr>
          <w:rFonts w:cs="Arial"/>
        </w:rPr>
        <w:t>f</w:t>
      </w:r>
      <w:r w:rsidR="00FF031F">
        <w:rPr>
          <w:rFonts w:cs="Arial"/>
        </w:rPr>
        <w:t>ramework</w:t>
      </w:r>
      <w:r w:rsidR="00C16F59">
        <w:rPr>
          <w:rFonts w:cs="Arial"/>
        </w:rPr>
        <w:t xml:space="preserve"> can be used to more effectively engage with the </w:t>
      </w:r>
      <w:r w:rsidR="00224642">
        <w:rPr>
          <w:rFonts w:cs="Arial"/>
        </w:rPr>
        <w:t>a</w:t>
      </w:r>
      <w:r w:rsidR="00C16F59">
        <w:rPr>
          <w:rFonts w:cs="Arial"/>
        </w:rPr>
        <w:t>gencies on their costs and improve the accuracy of the initial net cost estimation</w:t>
      </w:r>
      <w:r w:rsidR="00455B91">
        <w:rPr>
          <w:rFonts w:cs="Arial"/>
        </w:rPr>
        <w:t>.</w:t>
      </w:r>
    </w:p>
    <w:p w14:paraId="64A7E655" w14:textId="02BE46B4" w:rsidR="00E46F3E" w:rsidRDefault="00E46F3E" w:rsidP="005778C8">
      <w:pPr>
        <w:pStyle w:val="ListParagraph"/>
        <w:keepLines/>
        <w:numPr>
          <w:ilvl w:val="0"/>
          <w:numId w:val="10"/>
        </w:numPr>
        <w:rPr>
          <w:rFonts w:cs="Arial"/>
        </w:rPr>
      </w:pPr>
      <w:r w:rsidRPr="00C72CF4">
        <w:rPr>
          <w:rFonts w:cs="Arial"/>
          <w:i/>
        </w:rPr>
        <w:t xml:space="preserve">Possible </w:t>
      </w:r>
      <w:r w:rsidR="00E16AE0" w:rsidRPr="00C72CF4">
        <w:rPr>
          <w:rFonts w:cs="Arial"/>
          <w:i/>
        </w:rPr>
        <w:t>n</w:t>
      </w:r>
      <w:r w:rsidRPr="00C72CF4">
        <w:rPr>
          <w:rFonts w:cs="Arial"/>
          <w:i/>
        </w:rPr>
        <w:t xml:space="preserve">ext </w:t>
      </w:r>
      <w:r w:rsidR="00E16AE0" w:rsidRPr="00C72CF4">
        <w:rPr>
          <w:rFonts w:cs="Arial"/>
          <w:i/>
        </w:rPr>
        <w:t>s</w:t>
      </w:r>
      <w:r w:rsidRPr="00C72CF4">
        <w:rPr>
          <w:rFonts w:cs="Arial"/>
          <w:i/>
        </w:rPr>
        <w:t>teps</w:t>
      </w:r>
      <w:r w:rsidR="00C16F59" w:rsidRPr="00C72CF4">
        <w:rPr>
          <w:rFonts w:cs="Arial"/>
          <w:i/>
        </w:rPr>
        <w:t>.</w:t>
      </w:r>
      <w:r w:rsidR="00C16F59">
        <w:rPr>
          <w:rFonts w:cs="Arial"/>
        </w:rPr>
        <w:t xml:space="preserve"> This section offers possible means for progressing the </w:t>
      </w:r>
      <w:r w:rsidR="00D34356">
        <w:rPr>
          <w:rFonts w:cs="Arial"/>
        </w:rPr>
        <w:t>f</w:t>
      </w:r>
      <w:r w:rsidR="00FF031F">
        <w:rPr>
          <w:rFonts w:cs="Arial"/>
        </w:rPr>
        <w:t>ramework</w:t>
      </w:r>
      <w:r w:rsidR="00455B91">
        <w:rPr>
          <w:rFonts w:cs="Arial"/>
        </w:rPr>
        <w:t>.</w:t>
      </w:r>
    </w:p>
    <w:p w14:paraId="183C4251" w14:textId="77777777" w:rsidR="00E46F3E" w:rsidRPr="00C72CF4" w:rsidRDefault="00E46F3E" w:rsidP="005778C8">
      <w:pPr>
        <w:pStyle w:val="ListParagraph"/>
        <w:keepLines/>
        <w:numPr>
          <w:ilvl w:val="0"/>
          <w:numId w:val="10"/>
        </w:numPr>
        <w:rPr>
          <w:i/>
        </w:rPr>
      </w:pPr>
      <w:r w:rsidRPr="00C72CF4">
        <w:rPr>
          <w:rFonts w:cs="Arial"/>
          <w:i/>
        </w:rPr>
        <w:t>Conclusion</w:t>
      </w:r>
      <w:r w:rsidR="00527FDB" w:rsidRPr="00C72CF4">
        <w:rPr>
          <w:rFonts w:cs="Arial"/>
          <w:i/>
        </w:rPr>
        <w:t>.</w:t>
      </w:r>
    </w:p>
    <w:p w14:paraId="5AC8E56E" w14:textId="77777777" w:rsidR="00AB54B7" w:rsidRPr="0025714A" w:rsidRDefault="00601E57" w:rsidP="00AD4F54">
      <w:pPr>
        <w:pStyle w:val="Heading1"/>
        <w:rPr>
          <w:lang w:eastAsia="en-AU"/>
        </w:rPr>
      </w:pPr>
      <w:bookmarkStart w:id="10" w:name="_Toc469999990"/>
      <w:bookmarkStart w:id="11" w:name="_Toc482357185"/>
      <w:r>
        <w:rPr>
          <w:lang w:eastAsia="en-AU"/>
        </w:rPr>
        <w:lastRenderedPageBreak/>
        <w:t>Research</w:t>
      </w:r>
      <w:r w:rsidR="0005049D">
        <w:rPr>
          <w:lang w:eastAsia="en-AU"/>
        </w:rPr>
        <w:t xml:space="preserve"> </w:t>
      </w:r>
      <w:r w:rsidR="00C52355">
        <w:rPr>
          <w:lang w:eastAsia="en-AU"/>
        </w:rPr>
        <w:t>o</w:t>
      </w:r>
      <w:r w:rsidR="0005049D">
        <w:rPr>
          <w:lang w:eastAsia="en-AU"/>
        </w:rPr>
        <w:t>bjective,</w:t>
      </w:r>
      <w:r>
        <w:rPr>
          <w:lang w:eastAsia="en-AU"/>
        </w:rPr>
        <w:t xml:space="preserve"> </w:t>
      </w:r>
      <w:r w:rsidR="00C52355">
        <w:rPr>
          <w:lang w:eastAsia="en-AU"/>
        </w:rPr>
        <w:t>d</w:t>
      </w:r>
      <w:r>
        <w:rPr>
          <w:lang w:eastAsia="en-AU"/>
        </w:rPr>
        <w:t>esign</w:t>
      </w:r>
      <w:r w:rsidR="0005049D">
        <w:rPr>
          <w:lang w:eastAsia="en-AU"/>
        </w:rPr>
        <w:t xml:space="preserve"> and </w:t>
      </w:r>
      <w:r w:rsidR="00C52355">
        <w:rPr>
          <w:lang w:eastAsia="en-AU"/>
        </w:rPr>
        <w:t>i</w:t>
      </w:r>
      <w:r w:rsidR="0005049D">
        <w:rPr>
          <w:lang w:eastAsia="en-AU"/>
        </w:rPr>
        <w:t xml:space="preserve">nformation </w:t>
      </w:r>
      <w:r w:rsidR="00C52355">
        <w:rPr>
          <w:lang w:eastAsia="en-AU"/>
        </w:rPr>
        <w:t>g</w:t>
      </w:r>
      <w:r w:rsidR="0005049D">
        <w:rPr>
          <w:lang w:eastAsia="en-AU"/>
        </w:rPr>
        <w:t xml:space="preserve">athering </w:t>
      </w:r>
      <w:r w:rsidR="00C52355">
        <w:rPr>
          <w:lang w:eastAsia="en-AU"/>
        </w:rPr>
        <w:t>p</w:t>
      </w:r>
      <w:r w:rsidR="0005049D">
        <w:rPr>
          <w:lang w:eastAsia="en-AU"/>
        </w:rPr>
        <w:t>rocess</w:t>
      </w:r>
      <w:bookmarkEnd w:id="10"/>
      <w:bookmarkEnd w:id="11"/>
    </w:p>
    <w:p w14:paraId="68169C27" w14:textId="77777777" w:rsidR="00AB54B7" w:rsidRPr="0025714A" w:rsidRDefault="00CF29E4" w:rsidP="00BB301C">
      <w:pPr>
        <w:pStyle w:val="Heading2"/>
        <w:rPr>
          <w:lang w:eastAsia="en-AU"/>
        </w:rPr>
      </w:pPr>
      <w:bookmarkStart w:id="12" w:name="_Toc469999991"/>
      <w:bookmarkStart w:id="13" w:name="_Toc482357186"/>
      <w:r>
        <w:rPr>
          <w:lang w:eastAsia="en-AU"/>
        </w:rPr>
        <w:t xml:space="preserve">Project </w:t>
      </w:r>
      <w:r w:rsidR="00455B91">
        <w:rPr>
          <w:lang w:eastAsia="en-AU"/>
        </w:rPr>
        <w:t>o</w:t>
      </w:r>
      <w:r w:rsidR="00AB54B7" w:rsidRPr="0025714A">
        <w:rPr>
          <w:lang w:eastAsia="en-AU"/>
        </w:rPr>
        <w:t>bjectives</w:t>
      </w:r>
      <w:bookmarkEnd w:id="12"/>
      <w:bookmarkEnd w:id="13"/>
    </w:p>
    <w:p w14:paraId="46717349" w14:textId="77777777" w:rsidR="00126559" w:rsidRDefault="00946263" w:rsidP="00126559">
      <w:pPr>
        <w:keepNext/>
        <w:rPr>
          <w:lang w:eastAsia="en-AU"/>
        </w:rPr>
      </w:pPr>
      <w:r>
        <w:rPr>
          <w:lang w:eastAsia="en-AU"/>
        </w:rPr>
        <w:t xml:space="preserve">FSANZ has undertaken a project to </w:t>
      </w:r>
      <w:r w:rsidR="00430DDC">
        <w:rPr>
          <w:lang w:eastAsia="en-AU"/>
        </w:rPr>
        <w:t>assist in f</w:t>
      </w:r>
      <w:r w:rsidR="00126559">
        <w:rPr>
          <w:lang w:eastAsia="en-AU"/>
        </w:rPr>
        <w:t xml:space="preserve">uture estimation of </w:t>
      </w:r>
      <w:r w:rsidR="00363317">
        <w:rPr>
          <w:lang w:eastAsia="en-AU"/>
        </w:rPr>
        <w:t>jurisdictions</w:t>
      </w:r>
      <w:r w:rsidR="00EA0811">
        <w:rPr>
          <w:lang w:eastAsia="en-AU"/>
        </w:rPr>
        <w:t xml:space="preserve">’ </w:t>
      </w:r>
      <w:r w:rsidR="00430DDC">
        <w:rPr>
          <w:lang w:eastAsia="en-AU"/>
        </w:rPr>
        <w:t>costs associated with implementing changes to the Code</w:t>
      </w:r>
      <w:r>
        <w:rPr>
          <w:lang w:eastAsia="en-AU"/>
        </w:rPr>
        <w:t xml:space="preserve">. </w:t>
      </w:r>
      <w:r w:rsidR="00FA102C">
        <w:rPr>
          <w:lang w:eastAsia="en-AU"/>
        </w:rPr>
        <w:t>This involves:</w:t>
      </w:r>
    </w:p>
    <w:p w14:paraId="09609FAC" w14:textId="58AB238F" w:rsidR="00F65F2B" w:rsidRDefault="00020D35" w:rsidP="009E2FB3">
      <w:pPr>
        <w:pStyle w:val="FSBullet1"/>
        <w:rPr>
          <w:lang w:eastAsia="en-AU"/>
        </w:rPr>
      </w:pPr>
      <w:r>
        <w:rPr>
          <w:lang w:eastAsia="en-AU"/>
        </w:rPr>
        <w:t>I</w:t>
      </w:r>
      <w:r w:rsidR="00E21892">
        <w:rPr>
          <w:lang w:eastAsia="en-AU"/>
        </w:rPr>
        <w:t xml:space="preserve">dentification of the </w:t>
      </w:r>
      <w:r w:rsidR="00126559">
        <w:rPr>
          <w:lang w:eastAsia="en-AU"/>
        </w:rPr>
        <w:t xml:space="preserve">significant activities </w:t>
      </w:r>
      <w:r w:rsidR="00224642">
        <w:rPr>
          <w:lang w:eastAsia="en-AU"/>
        </w:rPr>
        <w:t>a</w:t>
      </w:r>
      <w:r w:rsidR="00126559">
        <w:rPr>
          <w:lang w:eastAsia="en-AU"/>
        </w:rPr>
        <w:t xml:space="preserve">gencies undertake </w:t>
      </w:r>
      <w:r>
        <w:rPr>
          <w:lang w:eastAsia="en-AU"/>
        </w:rPr>
        <w:t>in</w:t>
      </w:r>
      <w:r w:rsidR="00126559">
        <w:rPr>
          <w:lang w:eastAsia="en-AU"/>
        </w:rPr>
        <w:t xml:space="preserve"> interpret</w:t>
      </w:r>
      <w:r>
        <w:rPr>
          <w:lang w:eastAsia="en-AU"/>
        </w:rPr>
        <w:t>ing</w:t>
      </w:r>
      <w:r w:rsidR="00126559">
        <w:rPr>
          <w:lang w:eastAsia="en-AU"/>
        </w:rPr>
        <w:t>, implement</w:t>
      </w:r>
      <w:r>
        <w:rPr>
          <w:lang w:eastAsia="en-AU"/>
        </w:rPr>
        <w:t>ing</w:t>
      </w:r>
      <w:r w:rsidR="00126559">
        <w:rPr>
          <w:lang w:eastAsia="en-AU"/>
        </w:rPr>
        <w:t xml:space="preserve"> and administer</w:t>
      </w:r>
      <w:r>
        <w:rPr>
          <w:lang w:eastAsia="en-AU"/>
        </w:rPr>
        <w:t>ing</w:t>
      </w:r>
      <w:r w:rsidR="00126559">
        <w:rPr>
          <w:lang w:eastAsia="en-AU"/>
        </w:rPr>
        <w:t xml:space="preserve"> changes to the Code</w:t>
      </w:r>
      <w:r w:rsidR="00424C1E">
        <w:rPr>
          <w:lang w:eastAsia="en-AU"/>
        </w:rPr>
        <w:t>. Then determining</w:t>
      </w:r>
      <w:r>
        <w:rPr>
          <w:lang w:eastAsia="en-AU"/>
        </w:rPr>
        <w:t xml:space="preserve"> </w:t>
      </w:r>
      <w:r w:rsidR="00126559">
        <w:rPr>
          <w:lang w:eastAsia="en-AU"/>
        </w:rPr>
        <w:t xml:space="preserve">which are </w:t>
      </w:r>
      <w:r w:rsidR="00456F6E">
        <w:rPr>
          <w:lang w:eastAsia="en-AU"/>
        </w:rPr>
        <w:t xml:space="preserve">appropriate </w:t>
      </w:r>
      <w:r w:rsidR="00126559">
        <w:rPr>
          <w:lang w:eastAsia="en-AU"/>
        </w:rPr>
        <w:t>to</w:t>
      </w:r>
      <w:r w:rsidR="00456F6E">
        <w:rPr>
          <w:lang w:eastAsia="en-AU"/>
        </w:rPr>
        <w:t xml:space="preserve"> include in</w:t>
      </w:r>
      <w:r w:rsidR="00126559">
        <w:rPr>
          <w:lang w:eastAsia="en-AU"/>
        </w:rPr>
        <w:t xml:space="preserve"> </w:t>
      </w:r>
      <w:r w:rsidR="00F65F2B">
        <w:rPr>
          <w:lang w:eastAsia="en-AU"/>
        </w:rPr>
        <w:t xml:space="preserve">FSANZ regulatory impact </w:t>
      </w:r>
      <w:r w:rsidR="00455B91">
        <w:rPr>
          <w:lang w:eastAsia="en-AU"/>
        </w:rPr>
        <w:t>analysis.</w:t>
      </w:r>
    </w:p>
    <w:p w14:paraId="5ADA4F64" w14:textId="77777777" w:rsidR="00126559" w:rsidRDefault="00020D35" w:rsidP="009E2FB3">
      <w:pPr>
        <w:pStyle w:val="FSBullet1"/>
        <w:rPr>
          <w:lang w:eastAsia="en-AU"/>
        </w:rPr>
      </w:pPr>
      <w:r>
        <w:rPr>
          <w:lang w:eastAsia="en-AU"/>
        </w:rPr>
        <w:t>D</w:t>
      </w:r>
      <w:r w:rsidR="00126559">
        <w:rPr>
          <w:lang w:eastAsia="en-AU"/>
        </w:rPr>
        <w:t>etermin</w:t>
      </w:r>
      <w:r w:rsidR="00E21892">
        <w:rPr>
          <w:lang w:eastAsia="en-AU"/>
        </w:rPr>
        <w:t xml:space="preserve">ation of </w:t>
      </w:r>
      <w:r w:rsidR="00126559">
        <w:rPr>
          <w:lang w:eastAsia="en-AU"/>
        </w:rPr>
        <w:t xml:space="preserve">how these activities can be quantified for the purpose of </w:t>
      </w:r>
      <w:r w:rsidR="00455B91">
        <w:rPr>
          <w:lang w:eastAsia="en-AU"/>
        </w:rPr>
        <w:t>CBA.</w:t>
      </w:r>
    </w:p>
    <w:p w14:paraId="04249B3B" w14:textId="77777777" w:rsidR="00590457" w:rsidRDefault="00020D35" w:rsidP="00590457">
      <w:pPr>
        <w:pStyle w:val="FSBullet1"/>
        <w:rPr>
          <w:lang w:eastAsia="en-AU"/>
        </w:rPr>
      </w:pPr>
      <w:r>
        <w:rPr>
          <w:lang w:eastAsia="en-AU"/>
        </w:rPr>
        <w:t>I</w:t>
      </w:r>
      <w:r w:rsidR="00126559">
        <w:rPr>
          <w:lang w:eastAsia="en-AU"/>
        </w:rPr>
        <w:t>dentif</w:t>
      </w:r>
      <w:r w:rsidR="00E21892">
        <w:rPr>
          <w:lang w:eastAsia="en-AU"/>
        </w:rPr>
        <w:t xml:space="preserve">ication of what </w:t>
      </w:r>
      <w:r w:rsidR="008C06A3">
        <w:rPr>
          <w:lang w:eastAsia="en-AU"/>
        </w:rPr>
        <w:t>attributes</w:t>
      </w:r>
      <w:r w:rsidR="00424C1E">
        <w:rPr>
          <w:lang w:eastAsia="en-AU"/>
        </w:rPr>
        <w:t xml:space="preserve"> or context</w:t>
      </w:r>
      <w:r w:rsidR="008C06A3">
        <w:rPr>
          <w:lang w:eastAsia="en-AU"/>
        </w:rPr>
        <w:t xml:space="preserve"> of a change</w:t>
      </w:r>
      <w:r w:rsidR="00424C1E">
        <w:rPr>
          <w:lang w:eastAsia="en-AU"/>
        </w:rPr>
        <w:t xml:space="preserve"> influence </w:t>
      </w:r>
      <w:r w:rsidR="008C06A3">
        <w:rPr>
          <w:lang w:eastAsia="en-AU"/>
        </w:rPr>
        <w:t>implement</w:t>
      </w:r>
      <w:r w:rsidR="00590457">
        <w:rPr>
          <w:lang w:eastAsia="en-AU"/>
        </w:rPr>
        <w:t>ation</w:t>
      </w:r>
      <w:r w:rsidR="008C06A3">
        <w:rPr>
          <w:lang w:eastAsia="en-AU"/>
        </w:rPr>
        <w:t xml:space="preserve"> and </w:t>
      </w:r>
      <w:r w:rsidR="00455B91">
        <w:rPr>
          <w:lang w:eastAsia="en-AU"/>
        </w:rPr>
        <w:t>enforce</w:t>
      </w:r>
      <w:r w:rsidR="00590457">
        <w:rPr>
          <w:lang w:eastAsia="en-AU"/>
        </w:rPr>
        <w:t>ment costs</w:t>
      </w:r>
      <w:r w:rsidR="00455B91">
        <w:rPr>
          <w:lang w:eastAsia="en-AU"/>
        </w:rPr>
        <w:t>.</w:t>
      </w:r>
    </w:p>
    <w:p w14:paraId="0B63C921" w14:textId="208C9D80" w:rsidR="00424C1E" w:rsidRDefault="00126559" w:rsidP="00590457">
      <w:pPr>
        <w:pStyle w:val="FSBullet1"/>
        <w:rPr>
          <w:lang w:eastAsia="en-AU"/>
        </w:rPr>
      </w:pPr>
      <w:r>
        <w:rPr>
          <w:lang w:eastAsia="en-AU"/>
        </w:rPr>
        <w:t>Develop</w:t>
      </w:r>
      <w:r w:rsidR="00E21892">
        <w:rPr>
          <w:lang w:eastAsia="en-AU"/>
        </w:rPr>
        <w:t xml:space="preserve">ment of </w:t>
      </w:r>
      <w:r>
        <w:rPr>
          <w:lang w:eastAsia="en-AU"/>
        </w:rPr>
        <w:t>a</w:t>
      </w:r>
      <w:r w:rsidR="00573772">
        <w:rPr>
          <w:lang w:eastAsia="en-AU"/>
        </w:rPr>
        <w:t xml:space="preserve"> Government </w:t>
      </w:r>
      <w:r w:rsidR="00311E71">
        <w:rPr>
          <w:lang w:eastAsia="en-AU"/>
        </w:rPr>
        <w:t>Implementation</w:t>
      </w:r>
      <w:r w:rsidR="00C7037A">
        <w:rPr>
          <w:lang w:eastAsia="en-AU"/>
        </w:rPr>
        <w:t xml:space="preserve"> Cost</w:t>
      </w:r>
      <w:r w:rsidR="00573772">
        <w:rPr>
          <w:lang w:eastAsia="en-AU"/>
        </w:rPr>
        <w:t xml:space="preserve"> </w:t>
      </w:r>
      <w:r w:rsidR="00FF031F">
        <w:rPr>
          <w:lang w:eastAsia="en-AU"/>
        </w:rPr>
        <w:t>Framework</w:t>
      </w:r>
      <w:r w:rsidR="00017B0C">
        <w:rPr>
          <w:lang w:eastAsia="en-AU"/>
        </w:rPr>
        <w:t xml:space="preserve">. </w:t>
      </w:r>
    </w:p>
    <w:p w14:paraId="0E27AE4A" w14:textId="4D8301C1" w:rsidR="0026005C" w:rsidRDefault="009C4CFF" w:rsidP="00AA2296">
      <w:pPr>
        <w:rPr>
          <w:lang w:eastAsia="en-AU"/>
        </w:rPr>
      </w:pPr>
      <w:r>
        <w:rPr>
          <w:lang w:eastAsia="en-AU"/>
        </w:rPr>
        <w:t xml:space="preserve">The Government Cost </w:t>
      </w:r>
      <w:r w:rsidR="00FF031F">
        <w:rPr>
          <w:lang w:eastAsia="en-AU"/>
        </w:rPr>
        <w:t>Framework</w:t>
      </w:r>
      <w:r>
        <w:rPr>
          <w:lang w:eastAsia="en-AU"/>
        </w:rPr>
        <w:t xml:space="preserve"> intend</w:t>
      </w:r>
      <w:r w:rsidR="005C0808">
        <w:rPr>
          <w:lang w:eastAsia="en-AU"/>
        </w:rPr>
        <w:t>s</w:t>
      </w:r>
      <w:r>
        <w:rPr>
          <w:lang w:eastAsia="en-AU"/>
        </w:rPr>
        <w:t xml:space="preserve"> to:</w:t>
      </w:r>
    </w:p>
    <w:p w14:paraId="2356024F" w14:textId="35E7232E" w:rsidR="003333C8" w:rsidRDefault="0024687E" w:rsidP="009E2FB3">
      <w:pPr>
        <w:pStyle w:val="FSBullet1"/>
        <w:rPr>
          <w:lang w:eastAsia="en-AU"/>
        </w:rPr>
      </w:pPr>
      <w:r w:rsidRPr="00FF53FE">
        <w:rPr>
          <w:b/>
          <w:i/>
          <w:lang w:eastAsia="en-AU"/>
        </w:rPr>
        <w:t>P</w:t>
      </w:r>
      <w:r w:rsidR="009C4CFF" w:rsidRPr="00FF53FE">
        <w:rPr>
          <w:b/>
          <w:i/>
          <w:lang w:eastAsia="en-AU"/>
        </w:rPr>
        <w:t>rovi</w:t>
      </w:r>
      <w:r w:rsidR="00091C05" w:rsidRPr="00FF53FE">
        <w:rPr>
          <w:b/>
          <w:i/>
          <w:lang w:eastAsia="en-AU"/>
        </w:rPr>
        <w:t xml:space="preserve">de an indication </w:t>
      </w:r>
      <w:r w:rsidR="00456F6E" w:rsidRPr="00FF53FE">
        <w:rPr>
          <w:b/>
          <w:i/>
          <w:lang w:eastAsia="en-AU"/>
        </w:rPr>
        <w:t xml:space="preserve">of </w:t>
      </w:r>
      <w:r w:rsidR="005C0808" w:rsidRPr="00FF53FE">
        <w:rPr>
          <w:b/>
          <w:i/>
          <w:lang w:eastAsia="en-AU"/>
        </w:rPr>
        <w:t xml:space="preserve">the significance of the </w:t>
      </w:r>
      <w:r w:rsidR="00091C05" w:rsidRPr="00FF53FE">
        <w:rPr>
          <w:b/>
          <w:i/>
          <w:lang w:eastAsia="en-AU"/>
        </w:rPr>
        <w:t>jurisdictions</w:t>
      </w:r>
      <w:r w:rsidR="009C4CFF" w:rsidRPr="00FF53FE">
        <w:rPr>
          <w:b/>
          <w:i/>
          <w:lang w:eastAsia="en-AU"/>
        </w:rPr>
        <w:t>’ costs</w:t>
      </w:r>
      <w:r w:rsidR="00FF53FE">
        <w:rPr>
          <w:lang w:eastAsia="en-AU"/>
        </w:rPr>
        <w:t xml:space="preserve"> -</w:t>
      </w:r>
      <w:r w:rsidR="009C4CFF">
        <w:rPr>
          <w:lang w:eastAsia="en-AU"/>
        </w:rPr>
        <w:t xml:space="preserve">Undertaking a comprehensive CBA process can be time consuming and costly, both for FSANZ and the </w:t>
      </w:r>
      <w:r w:rsidR="00224642">
        <w:rPr>
          <w:lang w:eastAsia="en-AU"/>
        </w:rPr>
        <w:t>a</w:t>
      </w:r>
      <w:r w:rsidR="009C4CFF">
        <w:rPr>
          <w:lang w:eastAsia="en-AU"/>
        </w:rPr>
        <w:t>gencies</w:t>
      </w:r>
      <w:r w:rsidR="000E3C28">
        <w:rPr>
          <w:lang w:eastAsia="en-AU"/>
        </w:rPr>
        <w:t xml:space="preserve"> involved. </w:t>
      </w:r>
      <w:r w:rsidR="00397008">
        <w:rPr>
          <w:lang w:eastAsia="en-AU"/>
        </w:rPr>
        <w:t>Better information often reduces the uncertainty surrounding estimates, however if</w:t>
      </w:r>
      <w:r w:rsidR="00456F6E">
        <w:rPr>
          <w:lang w:eastAsia="en-AU"/>
        </w:rPr>
        <w:t xml:space="preserve"> the government costs of</w:t>
      </w:r>
      <w:r w:rsidR="00397008">
        <w:rPr>
          <w:lang w:eastAsia="en-AU"/>
        </w:rPr>
        <w:t xml:space="preserve"> a risk management option </w:t>
      </w:r>
      <w:r w:rsidR="005C0808">
        <w:rPr>
          <w:lang w:eastAsia="en-AU"/>
        </w:rPr>
        <w:t>are</w:t>
      </w:r>
      <w:r w:rsidR="00397008">
        <w:rPr>
          <w:lang w:eastAsia="en-AU"/>
        </w:rPr>
        <w:t xml:space="preserve"> already known to be</w:t>
      </w:r>
      <w:r w:rsidR="00456F6E">
        <w:rPr>
          <w:lang w:eastAsia="en-AU"/>
        </w:rPr>
        <w:t xml:space="preserve"> relatively small</w:t>
      </w:r>
      <w:r w:rsidR="00D50438">
        <w:rPr>
          <w:lang w:eastAsia="en-AU"/>
        </w:rPr>
        <w:t>,</w:t>
      </w:r>
      <w:r w:rsidR="00456F6E">
        <w:rPr>
          <w:lang w:eastAsia="en-AU"/>
        </w:rPr>
        <w:t xml:space="preserve"> these costs are likely to be</w:t>
      </w:r>
      <w:r w:rsidR="00397008">
        <w:rPr>
          <w:lang w:eastAsia="en-AU"/>
        </w:rPr>
        <w:t xml:space="preserve"> </w:t>
      </w:r>
      <w:r w:rsidR="00B052A7">
        <w:rPr>
          <w:lang w:eastAsia="en-AU"/>
        </w:rPr>
        <w:t xml:space="preserve">immaterial </w:t>
      </w:r>
      <w:r w:rsidR="00456F6E">
        <w:rPr>
          <w:lang w:eastAsia="en-AU"/>
        </w:rPr>
        <w:t>to the ordering of options</w:t>
      </w:r>
      <w:r w:rsidR="00397008">
        <w:rPr>
          <w:lang w:eastAsia="en-AU"/>
        </w:rPr>
        <w:t xml:space="preserve"> </w:t>
      </w:r>
      <w:r w:rsidR="00D50438">
        <w:rPr>
          <w:lang w:eastAsia="en-AU"/>
        </w:rPr>
        <w:t xml:space="preserve">and </w:t>
      </w:r>
      <w:r w:rsidR="00397008">
        <w:rPr>
          <w:lang w:eastAsia="en-AU"/>
        </w:rPr>
        <w:t xml:space="preserve">the </w:t>
      </w:r>
      <w:r w:rsidR="00457F21">
        <w:rPr>
          <w:lang w:eastAsia="en-AU"/>
        </w:rPr>
        <w:t xml:space="preserve">value of the </w:t>
      </w:r>
      <w:r w:rsidR="00397008">
        <w:rPr>
          <w:lang w:eastAsia="en-AU"/>
        </w:rPr>
        <w:t>additional information may be negli</w:t>
      </w:r>
      <w:r w:rsidR="00091C05">
        <w:rPr>
          <w:lang w:eastAsia="en-AU"/>
        </w:rPr>
        <w:t>gible.</w:t>
      </w:r>
      <w:r w:rsidR="000E3C28">
        <w:rPr>
          <w:lang w:eastAsia="en-AU"/>
        </w:rPr>
        <w:t xml:space="preserve"> </w:t>
      </w:r>
      <w:r w:rsidR="00456F6E">
        <w:rPr>
          <w:lang w:eastAsia="en-AU"/>
        </w:rPr>
        <w:t>Having a clear decision</w:t>
      </w:r>
      <w:r w:rsidR="00EC740F">
        <w:rPr>
          <w:lang w:eastAsia="en-AU"/>
        </w:rPr>
        <w:t>-</w:t>
      </w:r>
      <w:r w:rsidR="00456F6E">
        <w:rPr>
          <w:lang w:eastAsia="en-AU"/>
        </w:rPr>
        <w:t>making process around determining the materiality of costs</w:t>
      </w:r>
      <w:r w:rsidR="000E3C28">
        <w:rPr>
          <w:lang w:eastAsia="en-AU"/>
        </w:rPr>
        <w:t xml:space="preserve"> will assist FSANZ in allocating scarce resources to where they might</w:t>
      </w:r>
      <w:r w:rsidR="00456F6E">
        <w:rPr>
          <w:lang w:eastAsia="en-AU"/>
        </w:rPr>
        <w:t xml:space="preserve"> more effectively</w:t>
      </w:r>
      <w:r w:rsidR="000E3C28">
        <w:rPr>
          <w:lang w:eastAsia="en-AU"/>
        </w:rPr>
        <w:t xml:space="preserve"> influence </w:t>
      </w:r>
      <w:r w:rsidR="00456F6E">
        <w:rPr>
          <w:lang w:eastAsia="en-AU"/>
        </w:rPr>
        <w:t xml:space="preserve">better </w:t>
      </w:r>
      <w:r w:rsidR="000E3C28">
        <w:rPr>
          <w:lang w:eastAsia="en-AU"/>
        </w:rPr>
        <w:t>regulation design.</w:t>
      </w:r>
    </w:p>
    <w:p w14:paraId="35A357BB" w14:textId="6D7A8A15" w:rsidR="009C4CFF" w:rsidRDefault="00B03FDF" w:rsidP="009E2FB3">
      <w:pPr>
        <w:pStyle w:val="FSBullet1"/>
        <w:rPr>
          <w:lang w:eastAsia="en-AU"/>
        </w:rPr>
      </w:pPr>
      <w:r w:rsidRPr="00FF53FE">
        <w:rPr>
          <w:b/>
          <w:i/>
          <w:lang w:eastAsia="en-AU"/>
        </w:rPr>
        <w:t>C</w:t>
      </w:r>
      <w:r w:rsidR="00105A72" w:rsidRPr="00FF53FE">
        <w:rPr>
          <w:b/>
          <w:i/>
          <w:lang w:eastAsia="en-AU"/>
        </w:rPr>
        <w:t>alculate a</w:t>
      </w:r>
      <w:r w:rsidRPr="00FF53FE">
        <w:rPr>
          <w:b/>
          <w:i/>
          <w:lang w:eastAsia="en-AU"/>
        </w:rPr>
        <w:t>n initial</w:t>
      </w:r>
      <w:r w:rsidR="00105A72" w:rsidRPr="00FF53FE">
        <w:rPr>
          <w:b/>
          <w:i/>
          <w:lang w:eastAsia="en-AU"/>
        </w:rPr>
        <w:t xml:space="preserve"> estimate of the </w:t>
      </w:r>
      <w:r w:rsidRPr="00FF53FE">
        <w:rPr>
          <w:b/>
          <w:i/>
          <w:lang w:eastAsia="en-AU"/>
        </w:rPr>
        <w:t xml:space="preserve">jurisdictions’ net </w:t>
      </w:r>
      <w:r w:rsidR="00105A72" w:rsidRPr="00FF53FE">
        <w:rPr>
          <w:b/>
          <w:i/>
          <w:lang w:eastAsia="en-AU"/>
        </w:rPr>
        <w:t>costs</w:t>
      </w:r>
      <w:r w:rsidRPr="00FF53FE">
        <w:rPr>
          <w:b/>
          <w:i/>
          <w:lang w:eastAsia="en-AU"/>
        </w:rPr>
        <w:t xml:space="preserve"> through a Costing too</w:t>
      </w:r>
      <w:r w:rsidR="00FF53FE">
        <w:rPr>
          <w:lang w:eastAsia="en-AU"/>
        </w:rPr>
        <w:t>l -</w:t>
      </w:r>
      <w:r w:rsidR="00105A72">
        <w:rPr>
          <w:lang w:eastAsia="en-AU"/>
        </w:rPr>
        <w:t xml:space="preserve"> </w:t>
      </w:r>
      <w:r w:rsidR="00F16E36">
        <w:rPr>
          <w:lang w:eastAsia="en-AU"/>
        </w:rPr>
        <w:t>Due to the complexities of the food regulatory system and the lack of cost data presently available</w:t>
      </w:r>
      <w:r w:rsidR="0064572F">
        <w:rPr>
          <w:lang w:eastAsia="en-AU"/>
        </w:rPr>
        <w:t>,</w:t>
      </w:r>
      <w:r w:rsidR="00F16E36">
        <w:rPr>
          <w:lang w:eastAsia="en-AU"/>
        </w:rPr>
        <w:t xml:space="preserve"> this estimate will indicate the </w:t>
      </w:r>
      <w:r w:rsidR="00A075D7">
        <w:rPr>
          <w:lang w:eastAsia="en-AU"/>
        </w:rPr>
        <w:t>size</w:t>
      </w:r>
      <w:r w:rsidR="00F16E36">
        <w:rPr>
          <w:lang w:eastAsia="en-AU"/>
        </w:rPr>
        <w:t xml:space="preserve"> of the costs but </w:t>
      </w:r>
      <w:r w:rsidR="00FF53FE">
        <w:rPr>
          <w:lang w:eastAsia="en-AU"/>
        </w:rPr>
        <w:t>may not</w:t>
      </w:r>
      <w:r w:rsidR="00F16E36">
        <w:rPr>
          <w:lang w:eastAsia="en-AU"/>
        </w:rPr>
        <w:t xml:space="preserve"> do so with a high degree of accuracy</w:t>
      </w:r>
      <w:r w:rsidR="00FF53FE">
        <w:rPr>
          <w:lang w:eastAsia="en-AU"/>
        </w:rPr>
        <w:t xml:space="preserve"> in a number of circumstances</w:t>
      </w:r>
      <w:r w:rsidR="00F16E36">
        <w:rPr>
          <w:lang w:eastAsia="en-AU"/>
        </w:rPr>
        <w:t xml:space="preserve">. </w:t>
      </w:r>
      <w:r w:rsidR="00105A72">
        <w:rPr>
          <w:lang w:eastAsia="en-AU"/>
        </w:rPr>
        <w:t xml:space="preserve">This preliminary cost estimate will provide a starting point for </w:t>
      </w:r>
      <w:r w:rsidR="009408AE">
        <w:rPr>
          <w:lang w:eastAsia="en-AU"/>
        </w:rPr>
        <w:t xml:space="preserve">consultation with the </w:t>
      </w:r>
      <w:r w:rsidR="00224642">
        <w:rPr>
          <w:lang w:eastAsia="en-AU"/>
        </w:rPr>
        <w:t>a</w:t>
      </w:r>
      <w:r w:rsidR="009408AE">
        <w:rPr>
          <w:lang w:eastAsia="en-AU"/>
        </w:rPr>
        <w:t xml:space="preserve">gencies by clearly </w:t>
      </w:r>
      <w:r w:rsidR="007B6CAF">
        <w:rPr>
          <w:lang w:eastAsia="en-AU"/>
        </w:rPr>
        <w:t xml:space="preserve">conveying the </w:t>
      </w:r>
      <w:r w:rsidR="004870FA">
        <w:rPr>
          <w:lang w:eastAsia="en-AU"/>
        </w:rPr>
        <w:t>types</w:t>
      </w:r>
      <w:r w:rsidR="00237A57">
        <w:rPr>
          <w:lang w:eastAsia="en-AU"/>
        </w:rPr>
        <w:t xml:space="preserve"> </w:t>
      </w:r>
      <w:r w:rsidR="00466C80">
        <w:rPr>
          <w:lang w:eastAsia="en-AU"/>
        </w:rPr>
        <w:t xml:space="preserve">of </w:t>
      </w:r>
      <w:r w:rsidR="007B6CAF">
        <w:rPr>
          <w:lang w:eastAsia="en-AU"/>
        </w:rPr>
        <w:t xml:space="preserve">costs </w:t>
      </w:r>
      <w:r w:rsidR="00466C80">
        <w:rPr>
          <w:lang w:eastAsia="en-AU"/>
        </w:rPr>
        <w:t>that make up the</w:t>
      </w:r>
      <w:r w:rsidR="007B6CAF">
        <w:rPr>
          <w:lang w:eastAsia="en-AU"/>
        </w:rPr>
        <w:t xml:space="preserve"> estimate and the assumptions of how the </w:t>
      </w:r>
      <w:r w:rsidR="00224642">
        <w:rPr>
          <w:lang w:eastAsia="en-AU"/>
        </w:rPr>
        <w:t>a</w:t>
      </w:r>
      <w:r w:rsidR="007B6CAF">
        <w:rPr>
          <w:lang w:eastAsia="en-AU"/>
        </w:rPr>
        <w:t>gencies would be affected by Code changes.</w:t>
      </w:r>
      <w:r w:rsidR="009C4CFF">
        <w:rPr>
          <w:lang w:eastAsia="en-AU"/>
        </w:rPr>
        <w:t xml:space="preserve"> </w:t>
      </w:r>
      <w:r w:rsidR="00466C80">
        <w:rPr>
          <w:lang w:eastAsia="en-AU"/>
        </w:rPr>
        <w:t xml:space="preserve">The </w:t>
      </w:r>
      <w:r w:rsidR="00AF20B3">
        <w:rPr>
          <w:lang w:eastAsia="en-AU"/>
        </w:rPr>
        <w:t xml:space="preserve">aggregated </w:t>
      </w:r>
      <w:r w:rsidR="00466C80">
        <w:rPr>
          <w:lang w:eastAsia="en-AU"/>
        </w:rPr>
        <w:t xml:space="preserve">results produced by the </w:t>
      </w:r>
      <w:r w:rsidR="00D34356">
        <w:rPr>
          <w:lang w:eastAsia="en-AU"/>
        </w:rPr>
        <w:t>c</w:t>
      </w:r>
      <w:r w:rsidR="00466C80">
        <w:rPr>
          <w:lang w:eastAsia="en-AU"/>
        </w:rPr>
        <w:t>ost</w:t>
      </w:r>
      <w:r w:rsidR="00AF20B3">
        <w:rPr>
          <w:lang w:eastAsia="en-AU"/>
        </w:rPr>
        <w:t>ing</w:t>
      </w:r>
      <w:r w:rsidR="00466C80">
        <w:rPr>
          <w:lang w:eastAsia="en-AU"/>
        </w:rPr>
        <w:t xml:space="preserve"> tool could also</w:t>
      </w:r>
      <w:r w:rsidR="004870FA">
        <w:rPr>
          <w:lang w:eastAsia="en-AU"/>
        </w:rPr>
        <w:t xml:space="preserve"> possibly </w:t>
      </w:r>
      <w:r w:rsidR="00466C80">
        <w:rPr>
          <w:lang w:eastAsia="en-AU"/>
        </w:rPr>
        <w:t xml:space="preserve">be used </w:t>
      </w:r>
      <w:r w:rsidR="00466C80">
        <w:t>as default values to be placed in Consultation</w:t>
      </w:r>
      <w:r w:rsidR="00466C80" w:rsidRPr="002560B4">
        <w:t xml:space="preserve"> R</w:t>
      </w:r>
      <w:r w:rsidR="00FF0872">
        <w:t>ISs</w:t>
      </w:r>
      <w:r w:rsidR="00466C80" w:rsidRPr="002560B4">
        <w:t xml:space="preserve"> (</w:t>
      </w:r>
      <w:r w:rsidR="00466C80">
        <w:t>C</w:t>
      </w:r>
      <w:r w:rsidR="00466C80" w:rsidRPr="002560B4">
        <w:t>R</w:t>
      </w:r>
      <w:r w:rsidR="00466C80">
        <w:t xml:space="preserve">IS) when it appears too difficult or costly relative to the value of the information to </w:t>
      </w:r>
      <w:r w:rsidR="004870FA">
        <w:t>seek</w:t>
      </w:r>
      <w:r w:rsidR="00466C80">
        <w:t xml:space="preserve"> increased certainty or accuracy.</w:t>
      </w:r>
    </w:p>
    <w:p w14:paraId="56698244" w14:textId="1110297D" w:rsidR="00F671A8" w:rsidRPr="00FF0EA8" w:rsidRDefault="00476DD8" w:rsidP="00FF0EA8">
      <w:pPr>
        <w:keepLines/>
        <w:rPr>
          <w:rFonts w:cs="Arial"/>
        </w:rPr>
      </w:pPr>
      <w:r>
        <w:rPr>
          <w:lang w:eastAsia="en-AU"/>
        </w:rPr>
        <w:t>S</w:t>
      </w:r>
      <w:r w:rsidR="00C803D6">
        <w:rPr>
          <w:lang w:eastAsia="en-AU"/>
        </w:rPr>
        <w:t xml:space="preserve">tandardising </w:t>
      </w:r>
      <w:r w:rsidR="006C7199">
        <w:rPr>
          <w:lang w:eastAsia="en-AU"/>
        </w:rPr>
        <w:t>the</w:t>
      </w:r>
      <w:r w:rsidR="00C803D6">
        <w:rPr>
          <w:lang w:eastAsia="en-AU"/>
        </w:rPr>
        <w:t xml:space="preserve"> quantification of </w:t>
      </w:r>
      <w:r w:rsidR="00224642">
        <w:rPr>
          <w:lang w:eastAsia="en-AU"/>
        </w:rPr>
        <w:t>a</w:t>
      </w:r>
      <w:r w:rsidR="00395A31">
        <w:rPr>
          <w:lang w:eastAsia="en-AU"/>
        </w:rPr>
        <w:t>gencies’</w:t>
      </w:r>
      <w:r w:rsidR="00C803D6">
        <w:rPr>
          <w:lang w:eastAsia="en-AU"/>
        </w:rPr>
        <w:t xml:space="preserve"> costs</w:t>
      </w:r>
      <w:r w:rsidR="00812F6C">
        <w:rPr>
          <w:lang w:eastAsia="en-AU"/>
        </w:rPr>
        <w:t xml:space="preserve"> fi</w:t>
      </w:r>
      <w:r w:rsidR="00971891">
        <w:rPr>
          <w:lang w:eastAsia="en-AU"/>
        </w:rPr>
        <w:t>ts into FSANZ’s ongoing process</w:t>
      </w:r>
      <w:r w:rsidR="00FF0EA8">
        <w:rPr>
          <w:rFonts w:cs="Arial"/>
        </w:rPr>
        <w:t xml:space="preserve"> of progressively moving parts of its </w:t>
      </w:r>
      <w:r w:rsidR="00FF0872">
        <w:rPr>
          <w:rFonts w:cs="Arial"/>
        </w:rPr>
        <w:t>CBA</w:t>
      </w:r>
      <w:r w:rsidR="00FF0EA8">
        <w:rPr>
          <w:rFonts w:cs="Arial"/>
        </w:rPr>
        <w:t xml:space="preserve"> calculations into costing tools and models to improve the timeliness, transparency and methodological robustness of its regulatory impact analysis. </w:t>
      </w:r>
      <w:r w:rsidR="00F671A8" w:rsidRPr="0025714A">
        <w:rPr>
          <w:lang w:eastAsia="en-AU"/>
        </w:rPr>
        <w:t>These costing tools estimate the monetary value of various types of potential impacts associated with changes to the Code, and include</w:t>
      </w:r>
      <w:r w:rsidR="004870FA">
        <w:rPr>
          <w:lang w:eastAsia="en-AU"/>
        </w:rPr>
        <w:t xml:space="preserve"> the following components:</w:t>
      </w:r>
    </w:p>
    <w:p w14:paraId="28B742AC" w14:textId="77777777" w:rsidR="00F671A8" w:rsidRPr="0025714A" w:rsidRDefault="0024687E" w:rsidP="00F671A8">
      <w:pPr>
        <w:pStyle w:val="FSBullet1"/>
        <w:rPr>
          <w:rFonts w:eastAsiaTheme="minorHAnsi"/>
          <w:lang w:eastAsia="en-AU"/>
        </w:rPr>
      </w:pPr>
      <w:r>
        <w:rPr>
          <w:rFonts w:eastAsiaTheme="minorHAnsi"/>
          <w:lang w:eastAsia="en-AU"/>
        </w:rPr>
        <w:t>a</w:t>
      </w:r>
      <w:r w:rsidR="004870FA">
        <w:rPr>
          <w:rFonts w:eastAsiaTheme="minorHAnsi"/>
          <w:lang w:eastAsia="en-AU"/>
        </w:rPr>
        <w:t xml:space="preserve"> f</w:t>
      </w:r>
      <w:r w:rsidR="00F671A8" w:rsidRPr="0025714A">
        <w:rPr>
          <w:rFonts w:eastAsiaTheme="minorHAnsi"/>
          <w:lang w:eastAsia="en-AU"/>
        </w:rPr>
        <w:t xml:space="preserve">ood labelling model – </w:t>
      </w:r>
      <w:r w:rsidR="004870FA">
        <w:rPr>
          <w:rFonts w:eastAsiaTheme="minorHAnsi"/>
          <w:lang w:eastAsia="en-AU"/>
        </w:rPr>
        <w:t xml:space="preserve">to </w:t>
      </w:r>
      <w:r w:rsidR="00F671A8" w:rsidRPr="0025714A">
        <w:rPr>
          <w:rFonts w:eastAsiaTheme="minorHAnsi"/>
          <w:lang w:eastAsia="en-AU"/>
        </w:rPr>
        <w:t xml:space="preserve">estimate the costs to businesses </w:t>
      </w:r>
      <w:r w:rsidR="00FF0EA8">
        <w:rPr>
          <w:rFonts w:eastAsiaTheme="minorHAnsi"/>
          <w:lang w:eastAsia="en-AU"/>
        </w:rPr>
        <w:t>of</w:t>
      </w:r>
      <w:r w:rsidR="00A4095F">
        <w:rPr>
          <w:rFonts w:eastAsiaTheme="minorHAnsi"/>
          <w:lang w:eastAsia="en-AU"/>
        </w:rPr>
        <w:t xml:space="preserve"> </w:t>
      </w:r>
      <w:r w:rsidR="00F671A8" w:rsidRPr="0025714A">
        <w:rPr>
          <w:rFonts w:eastAsiaTheme="minorHAnsi"/>
          <w:lang w:eastAsia="en-AU"/>
        </w:rPr>
        <w:t>labelling or relabelling of food and beverages</w:t>
      </w:r>
    </w:p>
    <w:p w14:paraId="19857D67" w14:textId="77777777" w:rsidR="00F671A8" w:rsidRDefault="0024687E" w:rsidP="00F671A8">
      <w:pPr>
        <w:pStyle w:val="FSBullet1"/>
        <w:rPr>
          <w:lang w:eastAsia="en-AU"/>
        </w:rPr>
      </w:pPr>
      <w:r>
        <w:rPr>
          <w:lang w:eastAsia="en-AU"/>
        </w:rPr>
        <w:t>a</w:t>
      </w:r>
      <w:r w:rsidR="004870FA">
        <w:rPr>
          <w:lang w:eastAsia="en-AU"/>
        </w:rPr>
        <w:t xml:space="preserve"> b</w:t>
      </w:r>
      <w:r w:rsidR="00F671A8" w:rsidRPr="0025714A">
        <w:rPr>
          <w:lang w:eastAsia="en-AU"/>
        </w:rPr>
        <w:t>usiness compliance model – provides estimates of costs to businesses for new food regulation</w:t>
      </w:r>
      <w:r w:rsidR="00FF0EA8">
        <w:rPr>
          <w:lang w:eastAsia="en-AU"/>
        </w:rPr>
        <w:t>s</w:t>
      </w:r>
    </w:p>
    <w:p w14:paraId="3128A5BF" w14:textId="77777777" w:rsidR="00C803D6" w:rsidRPr="00C803D6" w:rsidRDefault="0024687E" w:rsidP="00C803D6">
      <w:pPr>
        <w:pStyle w:val="FSBullet1"/>
        <w:rPr>
          <w:lang w:eastAsia="en-AU"/>
        </w:rPr>
      </w:pPr>
      <w:r>
        <w:rPr>
          <w:lang w:eastAsia="en-AU"/>
        </w:rPr>
        <w:t>a</w:t>
      </w:r>
      <w:r w:rsidR="004870FA">
        <w:rPr>
          <w:lang w:eastAsia="en-AU"/>
        </w:rPr>
        <w:t xml:space="preserve"> c</w:t>
      </w:r>
      <w:r w:rsidR="00C803D6" w:rsidRPr="0025714A">
        <w:rPr>
          <w:lang w:eastAsia="en-AU"/>
        </w:rPr>
        <w:t>ost of illness model – estimates the cost of various foodborne illnesses</w:t>
      </w:r>
      <w:r>
        <w:rPr>
          <w:lang w:eastAsia="en-AU"/>
        </w:rPr>
        <w:t>.</w:t>
      </w:r>
    </w:p>
    <w:p w14:paraId="7F6B553E" w14:textId="77777777" w:rsidR="00AB54B7" w:rsidRDefault="00CF29E4" w:rsidP="00BB301C">
      <w:pPr>
        <w:pStyle w:val="Heading2"/>
        <w:rPr>
          <w:lang w:eastAsia="en-AU"/>
        </w:rPr>
      </w:pPr>
      <w:bookmarkStart w:id="14" w:name="_Toc469999992"/>
      <w:bookmarkStart w:id="15" w:name="_Toc482357187"/>
      <w:r>
        <w:rPr>
          <w:lang w:eastAsia="en-AU"/>
        </w:rPr>
        <w:lastRenderedPageBreak/>
        <w:t>P</w:t>
      </w:r>
      <w:r w:rsidR="00AB54B7" w:rsidRPr="0025714A">
        <w:rPr>
          <w:lang w:eastAsia="en-AU"/>
        </w:rPr>
        <w:t>roject</w:t>
      </w:r>
      <w:r>
        <w:rPr>
          <w:lang w:eastAsia="en-AU"/>
        </w:rPr>
        <w:t xml:space="preserve"> design</w:t>
      </w:r>
      <w:bookmarkEnd w:id="14"/>
      <w:bookmarkEnd w:id="15"/>
    </w:p>
    <w:p w14:paraId="53B228F4" w14:textId="77777777" w:rsidR="0057137E" w:rsidRDefault="00810ADF" w:rsidP="00651F00">
      <w:pPr>
        <w:keepNext/>
        <w:keepLines/>
        <w:rPr>
          <w:lang w:eastAsia="en-AU"/>
        </w:rPr>
      </w:pPr>
      <w:r>
        <w:rPr>
          <w:lang w:eastAsia="en-AU"/>
        </w:rPr>
        <w:t>P</w:t>
      </w:r>
      <w:r w:rsidR="00F23F74">
        <w:rPr>
          <w:lang w:eastAsia="en-AU"/>
        </w:rPr>
        <w:t xml:space="preserve">roject </w:t>
      </w:r>
      <w:r>
        <w:rPr>
          <w:lang w:eastAsia="en-AU"/>
        </w:rPr>
        <w:t xml:space="preserve">stages </w:t>
      </w:r>
      <w:r w:rsidR="00F23F74">
        <w:rPr>
          <w:lang w:eastAsia="en-AU"/>
        </w:rPr>
        <w:t>include</w:t>
      </w:r>
      <w:r w:rsidR="00573772">
        <w:rPr>
          <w:lang w:eastAsia="en-AU"/>
        </w:rPr>
        <w:t>:</w:t>
      </w:r>
    </w:p>
    <w:p w14:paraId="74D9F52D" w14:textId="77777777" w:rsidR="00573772" w:rsidRDefault="00573772" w:rsidP="00651F00">
      <w:pPr>
        <w:pStyle w:val="FSBullet1"/>
        <w:keepNext/>
        <w:keepLines/>
        <w:rPr>
          <w:lang w:eastAsia="en-AU"/>
        </w:rPr>
      </w:pPr>
      <w:r>
        <w:rPr>
          <w:lang w:eastAsia="en-AU"/>
        </w:rPr>
        <w:t>initiation</w:t>
      </w:r>
    </w:p>
    <w:p w14:paraId="689FA5B3" w14:textId="77777777" w:rsidR="00573772" w:rsidRDefault="00EE61B6" w:rsidP="00651F00">
      <w:pPr>
        <w:pStyle w:val="FSBullet1"/>
        <w:keepNext/>
        <w:keepLines/>
        <w:rPr>
          <w:lang w:eastAsia="en-AU"/>
        </w:rPr>
      </w:pPr>
      <w:r>
        <w:rPr>
          <w:lang w:eastAsia="en-AU"/>
        </w:rPr>
        <w:t>p</w:t>
      </w:r>
      <w:r w:rsidR="00573772">
        <w:rPr>
          <w:lang w:eastAsia="en-AU"/>
        </w:rPr>
        <w:t xml:space="preserve">ilot data </w:t>
      </w:r>
      <w:r w:rsidR="001A77D0">
        <w:rPr>
          <w:lang w:eastAsia="en-AU"/>
        </w:rPr>
        <w:t>collection</w:t>
      </w:r>
    </w:p>
    <w:p w14:paraId="4FA4A2A9" w14:textId="77777777" w:rsidR="00573772" w:rsidRDefault="00EE61B6" w:rsidP="00651F00">
      <w:pPr>
        <w:pStyle w:val="FSBullet1"/>
        <w:keepLines/>
        <w:rPr>
          <w:lang w:eastAsia="en-AU"/>
        </w:rPr>
      </w:pPr>
      <w:r>
        <w:rPr>
          <w:lang w:eastAsia="en-AU"/>
        </w:rPr>
        <w:t>f</w:t>
      </w:r>
      <w:r w:rsidR="00573772">
        <w:rPr>
          <w:lang w:eastAsia="en-AU"/>
        </w:rPr>
        <w:t>urther data collection</w:t>
      </w:r>
    </w:p>
    <w:p w14:paraId="7A01170A" w14:textId="77777777" w:rsidR="00413240" w:rsidRDefault="00EE61B6" w:rsidP="00651F00">
      <w:pPr>
        <w:pStyle w:val="FSBullet1"/>
        <w:keepLines/>
        <w:rPr>
          <w:lang w:eastAsia="en-AU"/>
        </w:rPr>
      </w:pPr>
      <w:r>
        <w:rPr>
          <w:lang w:eastAsia="en-AU"/>
        </w:rPr>
        <w:t>a</w:t>
      </w:r>
      <w:r w:rsidR="00573772">
        <w:rPr>
          <w:lang w:eastAsia="en-AU"/>
        </w:rPr>
        <w:t xml:space="preserve">nalysis </w:t>
      </w:r>
      <w:r w:rsidR="00224D7D">
        <w:rPr>
          <w:lang w:eastAsia="en-AU"/>
        </w:rPr>
        <w:t xml:space="preserve">of information collected </w:t>
      </w:r>
    </w:p>
    <w:p w14:paraId="16DDDF2F" w14:textId="34145C6E" w:rsidR="00832FE1" w:rsidRDefault="00224D7D" w:rsidP="00651F00">
      <w:pPr>
        <w:pStyle w:val="FSBullet1"/>
        <w:keepLines/>
        <w:rPr>
          <w:lang w:eastAsia="en-AU"/>
        </w:rPr>
      </w:pPr>
      <w:r>
        <w:rPr>
          <w:lang w:eastAsia="en-AU"/>
        </w:rPr>
        <w:t xml:space="preserve">development </w:t>
      </w:r>
      <w:r w:rsidR="00573772">
        <w:rPr>
          <w:lang w:eastAsia="en-AU"/>
        </w:rPr>
        <w:t xml:space="preserve">of </w:t>
      </w:r>
      <w:r>
        <w:rPr>
          <w:lang w:eastAsia="en-AU"/>
        </w:rPr>
        <w:t>the first version of the Government</w:t>
      </w:r>
      <w:r w:rsidR="001A77D0">
        <w:rPr>
          <w:lang w:eastAsia="en-AU"/>
        </w:rPr>
        <w:t xml:space="preserve"> Implementation</w:t>
      </w:r>
      <w:r>
        <w:rPr>
          <w:lang w:eastAsia="en-AU"/>
        </w:rPr>
        <w:t xml:space="preserve"> Cost </w:t>
      </w:r>
      <w:r w:rsidR="00FF031F">
        <w:rPr>
          <w:lang w:eastAsia="en-AU"/>
        </w:rPr>
        <w:t>Framework</w:t>
      </w:r>
    </w:p>
    <w:p w14:paraId="58C7CDFD" w14:textId="77777777" w:rsidR="00573772" w:rsidRDefault="00EE61B6" w:rsidP="00651F00">
      <w:pPr>
        <w:pStyle w:val="FSBullet1"/>
        <w:keepLines/>
        <w:rPr>
          <w:lang w:eastAsia="en-AU"/>
        </w:rPr>
      </w:pPr>
      <w:r>
        <w:rPr>
          <w:lang w:eastAsia="en-AU"/>
        </w:rPr>
        <w:t>c</w:t>
      </w:r>
      <w:r w:rsidR="00573772">
        <w:rPr>
          <w:lang w:eastAsia="en-AU"/>
        </w:rPr>
        <w:t>onsultation on findings</w:t>
      </w:r>
    </w:p>
    <w:p w14:paraId="04363A6E" w14:textId="5C7128A3" w:rsidR="00573772" w:rsidRDefault="00D34356" w:rsidP="00651F00">
      <w:pPr>
        <w:pStyle w:val="FSBullet1"/>
        <w:keepLines/>
        <w:rPr>
          <w:lang w:eastAsia="en-AU"/>
        </w:rPr>
      </w:pPr>
      <w:r>
        <w:rPr>
          <w:lang w:eastAsia="en-AU"/>
        </w:rPr>
        <w:t>f</w:t>
      </w:r>
      <w:r w:rsidR="00FF031F">
        <w:rPr>
          <w:lang w:eastAsia="en-AU"/>
        </w:rPr>
        <w:t>ramework</w:t>
      </w:r>
      <w:r w:rsidR="00EE61B6">
        <w:rPr>
          <w:lang w:eastAsia="en-AU"/>
        </w:rPr>
        <w:t xml:space="preserve"> refinement.</w:t>
      </w:r>
    </w:p>
    <w:p w14:paraId="2F6C476F" w14:textId="77777777" w:rsidR="001939F3" w:rsidRDefault="001939F3" w:rsidP="00BB301C">
      <w:pPr>
        <w:pStyle w:val="Heading3"/>
      </w:pPr>
      <w:bookmarkStart w:id="16" w:name="_Toc437598576"/>
      <w:bookmarkStart w:id="17" w:name="_Toc469999993"/>
      <w:bookmarkStart w:id="18" w:name="_Toc482357188"/>
      <w:r>
        <w:t>Project initiation</w:t>
      </w:r>
      <w:bookmarkEnd w:id="16"/>
      <w:bookmarkEnd w:id="17"/>
      <w:bookmarkEnd w:id="18"/>
    </w:p>
    <w:p w14:paraId="67FD2D03" w14:textId="77777777" w:rsidR="00412CFC" w:rsidRDefault="008B261D" w:rsidP="001939F3">
      <w:pPr>
        <w:keepNext/>
      </w:pPr>
      <w:r>
        <w:t>Th</w:t>
      </w:r>
      <w:r w:rsidR="00EA704E">
        <w:t xml:space="preserve">e project began with </w:t>
      </w:r>
      <w:r w:rsidR="00224642">
        <w:t xml:space="preserve">a </w:t>
      </w:r>
      <w:r w:rsidR="00412CFC">
        <w:t xml:space="preserve">review </w:t>
      </w:r>
      <w:r w:rsidR="00EA704E">
        <w:t xml:space="preserve">of </w:t>
      </w:r>
      <w:r w:rsidR="00412CFC">
        <w:t xml:space="preserve">key literature and scoping </w:t>
      </w:r>
      <w:r w:rsidR="00EA704E">
        <w:t xml:space="preserve">of </w:t>
      </w:r>
      <w:r w:rsidR="00412CFC">
        <w:t xml:space="preserve">the feasibility of the project </w:t>
      </w:r>
      <w:r w:rsidR="00730989">
        <w:t>utilising</w:t>
      </w:r>
      <w:r w:rsidR="00412CFC">
        <w:t xml:space="preserve"> experts in th</w:t>
      </w:r>
      <w:r w:rsidR="00EA704E">
        <w:t>e</w:t>
      </w:r>
      <w:r w:rsidR="00412CFC">
        <w:t xml:space="preserve"> field</w:t>
      </w:r>
      <w:r w:rsidR="00EA704E">
        <w:t xml:space="preserve">, including </w:t>
      </w:r>
      <w:r w:rsidR="00412CFC">
        <w:t>the Productivity Commission</w:t>
      </w:r>
      <w:r w:rsidR="00EA704E">
        <w:t xml:space="preserve"> and </w:t>
      </w:r>
      <w:r w:rsidR="00412CFC">
        <w:t xml:space="preserve">economists, </w:t>
      </w:r>
      <w:r w:rsidR="00412CFC" w:rsidRPr="00407019">
        <w:rPr>
          <w:snapToGrid w:val="0"/>
        </w:rPr>
        <w:t>including FSANZ’s Social Science and Economic Advisory Group (SSEAG)</w:t>
      </w:r>
      <w:r w:rsidR="00412CFC">
        <w:rPr>
          <w:snapToGrid w:val="0"/>
        </w:rPr>
        <w:t>.</w:t>
      </w:r>
    </w:p>
    <w:p w14:paraId="76B4B510" w14:textId="77777777" w:rsidR="001939F3" w:rsidRDefault="001939F3" w:rsidP="001939F3">
      <w:pPr>
        <w:keepNext/>
      </w:pPr>
      <w:r>
        <w:t>As a result of the desktop-research undertaken in this phase</w:t>
      </w:r>
      <w:r w:rsidR="0064572F">
        <w:t>,</w:t>
      </w:r>
      <w:r>
        <w:t xml:space="preserve"> FSANZ focused on a simplified activity</w:t>
      </w:r>
      <w:r w:rsidR="00CB5B0B">
        <w:t>-</w:t>
      </w:r>
      <w:r>
        <w:t xml:space="preserve">based costing approach in order to obtain maximum usability of any eventual </w:t>
      </w:r>
      <w:r w:rsidR="00466C80">
        <w:t>c</w:t>
      </w:r>
      <w:r>
        <w:t xml:space="preserve">osting tool. This approach allocates implementation costs to each risk management option </w:t>
      </w:r>
      <w:r w:rsidR="007D62FA">
        <w:t>based on the activities</w:t>
      </w:r>
      <w:r>
        <w:t xml:space="preserve"> </w:t>
      </w:r>
      <w:r w:rsidR="007D62FA">
        <w:t>necessary</w:t>
      </w:r>
      <w:r>
        <w:t xml:space="preserve"> to in</w:t>
      </w:r>
      <w:r w:rsidR="008B261D">
        <w:t xml:space="preserve">corporate the Code change into the jurisdictions’ food regulatory system. </w:t>
      </w:r>
      <w:r>
        <w:t xml:space="preserve">Although this is more detailed information than would </w:t>
      </w:r>
      <w:r w:rsidR="00936201">
        <w:t xml:space="preserve">be </w:t>
      </w:r>
      <w:r w:rsidR="008B261D">
        <w:t>described</w:t>
      </w:r>
      <w:r w:rsidR="00936201">
        <w:t xml:space="preserve"> in a CBA</w:t>
      </w:r>
      <w:r>
        <w:t>, having</w:t>
      </w:r>
      <w:r w:rsidR="00AF29A2">
        <w:t xml:space="preserve"> information</w:t>
      </w:r>
      <w:r>
        <w:t xml:space="preserve"> on the </w:t>
      </w:r>
      <w:r w:rsidR="00096DF7">
        <w:t xml:space="preserve">work undertaken to introduce new food standards in different scenarios </w:t>
      </w:r>
      <w:r>
        <w:t>enable</w:t>
      </w:r>
      <w:r w:rsidR="00CB5B0B">
        <w:t>s</w:t>
      </w:r>
      <w:r>
        <w:t xml:space="preserve"> a picture </w:t>
      </w:r>
      <w:r w:rsidR="00E33952">
        <w:t xml:space="preserve">to be built </w:t>
      </w:r>
      <w:r>
        <w:t xml:space="preserve">of how the nuanced differences between the risk management options </w:t>
      </w:r>
      <w:r w:rsidR="00730989">
        <w:t>could</w:t>
      </w:r>
      <w:r>
        <w:t xml:space="preserve"> influence </w:t>
      </w:r>
      <w:r w:rsidR="00CB5B0B">
        <w:t xml:space="preserve">project </w:t>
      </w:r>
      <w:r w:rsidR="00936201">
        <w:t>cost</w:t>
      </w:r>
      <w:r w:rsidR="00CB5B0B">
        <w:t>s</w:t>
      </w:r>
      <w:r>
        <w:t>.</w:t>
      </w:r>
    </w:p>
    <w:p w14:paraId="0D931303" w14:textId="7C2D0816" w:rsidR="001939F3" w:rsidRDefault="00CB5B0B" w:rsidP="001939F3">
      <w:r>
        <w:t xml:space="preserve">With </w:t>
      </w:r>
      <w:r w:rsidR="001939F3">
        <w:t>this approach, cost</w:t>
      </w:r>
      <w:r w:rsidR="008B261D">
        <w:t>s</w:t>
      </w:r>
      <w:r w:rsidR="001939F3">
        <w:t xml:space="preserve"> to each </w:t>
      </w:r>
      <w:r w:rsidR="00224642">
        <w:t>a</w:t>
      </w:r>
      <w:r w:rsidR="001939F3">
        <w:t xml:space="preserve">gency </w:t>
      </w:r>
      <w:r w:rsidR="00730989">
        <w:t>can be</w:t>
      </w:r>
      <w:r w:rsidR="00936201">
        <w:t xml:space="preserve"> calculated </w:t>
      </w:r>
      <w:r w:rsidR="001939F3">
        <w:t>by identifying the activities involved and assigning a cost to each activity</w:t>
      </w:r>
      <w:r w:rsidR="00FF4633">
        <w:t>-</w:t>
      </w:r>
      <w:r w:rsidR="001939F3">
        <w:t xml:space="preserve">based on the </w:t>
      </w:r>
      <w:r w:rsidR="00730989">
        <w:t xml:space="preserve">required </w:t>
      </w:r>
      <w:r w:rsidR="001939F3">
        <w:t>resources</w:t>
      </w:r>
      <w:r w:rsidR="00730989">
        <w:t>.</w:t>
      </w:r>
      <w:r w:rsidR="001939F3">
        <w:t xml:space="preserve"> </w:t>
      </w:r>
      <w:r w:rsidR="00936201">
        <w:t xml:space="preserve">The costs of each </w:t>
      </w:r>
      <w:r w:rsidR="00224642">
        <w:t>a</w:t>
      </w:r>
      <w:r w:rsidR="00936201">
        <w:t>gency in the jurisdiction w</w:t>
      </w:r>
      <w:r>
        <w:t xml:space="preserve">ould then </w:t>
      </w:r>
      <w:r w:rsidR="007D62FA">
        <w:t xml:space="preserve">be combined to obtain a </w:t>
      </w:r>
      <w:r w:rsidR="00936201">
        <w:t xml:space="preserve">net cost for </w:t>
      </w:r>
      <w:r>
        <w:t>each</w:t>
      </w:r>
      <w:r w:rsidR="00936201">
        <w:t xml:space="preserve"> jurisdiction.</w:t>
      </w:r>
    </w:p>
    <w:p w14:paraId="5E4D18A7" w14:textId="3FA94849" w:rsidR="003215F8" w:rsidRDefault="00290292" w:rsidP="003215F8">
      <w:pPr>
        <w:rPr>
          <w:rFonts w:cs="Arial"/>
          <w:snapToGrid w:val="0"/>
        </w:rPr>
      </w:pPr>
      <w:r>
        <w:t xml:space="preserve">Any economic model or theory is </w:t>
      </w:r>
      <w:r w:rsidR="00CB5B0B">
        <w:t xml:space="preserve">necessarily </w:t>
      </w:r>
      <w:r>
        <w:t xml:space="preserve">a simplification of the real-world </w:t>
      </w:r>
      <w:r w:rsidR="00CB5B0B">
        <w:t>situation</w:t>
      </w:r>
      <w:r>
        <w:t>.</w:t>
      </w:r>
      <w:r w:rsidR="000B7BD3">
        <w:t xml:space="preserve"> In developing</w:t>
      </w:r>
      <w:r>
        <w:t xml:space="preserve"> </w:t>
      </w:r>
      <w:r w:rsidR="000B7BD3">
        <w:t>the Costing tool th</w:t>
      </w:r>
      <w:r w:rsidR="00392B32">
        <w:t>is causes</w:t>
      </w:r>
      <w:r w:rsidR="000B7BD3">
        <w:t xml:space="preserve"> a trade-off between the data intensity and complexity of the tool with the accuracy of its outputs and ease-of use. In order to balance the competing priorities in design, </w:t>
      </w:r>
      <w:r w:rsidR="00224642">
        <w:t xml:space="preserve">criteria were </w:t>
      </w:r>
      <w:r w:rsidR="003215F8">
        <w:rPr>
          <w:rFonts w:cs="Arial"/>
          <w:snapToGrid w:val="0"/>
        </w:rPr>
        <w:t xml:space="preserve">created to guide the development of the </w:t>
      </w:r>
      <w:r w:rsidR="00D34356">
        <w:rPr>
          <w:rFonts w:cs="Arial"/>
          <w:snapToGrid w:val="0"/>
        </w:rPr>
        <w:t>c</w:t>
      </w:r>
      <w:r w:rsidR="000B7BD3">
        <w:rPr>
          <w:rFonts w:cs="Arial"/>
          <w:snapToGrid w:val="0"/>
        </w:rPr>
        <w:t>osting tool</w:t>
      </w:r>
      <w:r w:rsidR="00CB5B0B">
        <w:rPr>
          <w:rFonts w:cs="Arial"/>
          <w:snapToGrid w:val="0"/>
        </w:rPr>
        <w:t>. These criteria included assessment of</w:t>
      </w:r>
      <w:r w:rsidR="00730989">
        <w:rPr>
          <w:rFonts w:cs="Arial"/>
          <w:snapToGrid w:val="0"/>
        </w:rPr>
        <w:t>:</w:t>
      </w:r>
    </w:p>
    <w:p w14:paraId="4EB7B235" w14:textId="032C5DDA" w:rsidR="003215F8" w:rsidRDefault="0024687E" w:rsidP="00B03F69">
      <w:pPr>
        <w:pStyle w:val="FSBullet1"/>
        <w:rPr>
          <w:snapToGrid w:val="0"/>
        </w:rPr>
      </w:pPr>
      <w:r>
        <w:rPr>
          <w:snapToGrid w:val="0"/>
        </w:rPr>
        <w:t>M</w:t>
      </w:r>
      <w:r w:rsidR="003215F8">
        <w:rPr>
          <w:snapToGrid w:val="0"/>
        </w:rPr>
        <w:t xml:space="preserve">eaningfulness to the </w:t>
      </w:r>
      <w:r w:rsidR="00224642">
        <w:rPr>
          <w:snapToGrid w:val="0"/>
        </w:rPr>
        <w:t>a</w:t>
      </w:r>
      <w:r w:rsidR="003215F8">
        <w:rPr>
          <w:snapToGrid w:val="0"/>
        </w:rPr>
        <w:t xml:space="preserve">gencies – </w:t>
      </w:r>
      <w:r w:rsidR="00C9798C">
        <w:rPr>
          <w:snapToGrid w:val="0"/>
        </w:rPr>
        <w:t>t</w:t>
      </w:r>
      <w:r w:rsidR="00D831B3">
        <w:rPr>
          <w:snapToGrid w:val="0"/>
        </w:rPr>
        <w:t xml:space="preserve">he </w:t>
      </w:r>
      <w:r w:rsidR="00D34356">
        <w:rPr>
          <w:snapToGrid w:val="0"/>
        </w:rPr>
        <w:t>c</w:t>
      </w:r>
      <w:r w:rsidR="00C9798C">
        <w:rPr>
          <w:snapToGrid w:val="0"/>
        </w:rPr>
        <w:t xml:space="preserve">osting tool is a starting point for predicting the jurisdictions costs. Further engagement with the </w:t>
      </w:r>
      <w:r w:rsidR="00224642">
        <w:rPr>
          <w:snapToGrid w:val="0"/>
        </w:rPr>
        <w:t>a</w:t>
      </w:r>
      <w:r w:rsidR="00C9798C">
        <w:rPr>
          <w:snapToGrid w:val="0"/>
        </w:rPr>
        <w:t>gencies is essential for meaningful cost predictions, t</w:t>
      </w:r>
      <w:r w:rsidR="00CB5B0B">
        <w:rPr>
          <w:snapToGrid w:val="0"/>
        </w:rPr>
        <w:t xml:space="preserve">o </w:t>
      </w:r>
      <w:r w:rsidR="008B261D">
        <w:rPr>
          <w:snapToGrid w:val="0"/>
        </w:rPr>
        <w:t>e</w:t>
      </w:r>
      <w:r w:rsidR="003215F8">
        <w:rPr>
          <w:snapToGrid w:val="0"/>
        </w:rPr>
        <w:t xml:space="preserve">nsure that </w:t>
      </w:r>
      <w:r w:rsidR="00C9798C">
        <w:rPr>
          <w:snapToGrid w:val="0"/>
        </w:rPr>
        <w:t xml:space="preserve">this engagement is effective, </w:t>
      </w:r>
      <w:r w:rsidR="00224642">
        <w:rPr>
          <w:snapToGrid w:val="0"/>
        </w:rPr>
        <w:t>a</w:t>
      </w:r>
      <w:r w:rsidR="00C9798C">
        <w:rPr>
          <w:snapToGrid w:val="0"/>
        </w:rPr>
        <w:t xml:space="preserve">gencies be able to easily relate to the cost categories so they can participate in the costing process and </w:t>
      </w:r>
      <w:r w:rsidR="003215F8">
        <w:rPr>
          <w:snapToGrid w:val="0"/>
        </w:rPr>
        <w:t>be able to justify how</w:t>
      </w:r>
      <w:r w:rsidR="00730989">
        <w:rPr>
          <w:snapToGrid w:val="0"/>
        </w:rPr>
        <w:t xml:space="preserve"> costs were expected to deviate</w:t>
      </w:r>
      <w:r w:rsidR="003215F8">
        <w:rPr>
          <w:snapToGrid w:val="0"/>
        </w:rPr>
        <w:t xml:space="preserve"> from preliminary </w:t>
      </w:r>
      <w:r w:rsidR="00455B91">
        <w:rPr>
          <w:snapToGrid w:val="0"/>
        </w:rPr>
        <w:t>estimates.</w:t>
      </w:r>
    </w:p>
    <w:p w14:paraId="783C7889" w14:textId="77777777" w:rsidR="003215F8" w:rsidRDefault="0024687E" w:rsidP="00B03F69">
      <w:pPr>
        <w:pStyle w:val="FSBullet1"/>
        <w:rPr>
          <w:snapToGrid w:val="0"/>
        </w:rPr>
      </w:pPr>
      <w:r>
        <w:rPr>
          <w:snapToGrid w:val="0"/>
        </w:rPr>
        <w:t>C</w:t>
      </w:r>
      <w:r w:rsidR="003215F8">
        <w:rPr>
          <w:snapToGrid w:val="0"/>
        </w:rPr>
        <w:t>ost driver homogeneity –</w:t>
      </w:r>
      <w:r w:rsidR="008B261D">
        <w:rPr>
          <w:snapToGrid w:val="0"/>
        </w:rPr>
        <w:t xml:space="preserve"> </w:t>
      </w:r>
      <w:r w:rsidR="00784E27">
        <w:rPr>
          <w:snapToGrid w:val="0"/>
        </w:rPr>
        <w:t xml:space="preserve">cost categories are </w:t>
      </w:r>
      <w:r w:rsidR="003215F8">
        <w:rPr>
          <w:snapToGrid w:val="0"/>
        </w:rPr>
        <w:t>group</w:t>
      </w:r>
      <w:r w:rsidR="00784E27">
        <w:rPr>
          <w:snapToGrid w:val="0"/>
        </w:rPr>
        <w:t>ed</w:t>
      </w:r>
      <w:r w:rsidR="003215F8">
        <w:rPr>
          <w:snapToGrid w:val="0"/>
        </w:rPr>
        <w:t xml:space="preserve"> </w:t>
      </w:r>
      <w:r w:rsidR="00CB5B0B">
        <w:rPr>
          <w:snapToGrid w:val="0"/>
        </w:rPr>
        <w:t xml:space="preserve">together </w:t>
      </w:r>
      <w:r w:rsidR="00784E27">
        <w:rPr>
          <w:snapToGrid w:val="0"/>
        </w:rPr>
        <w:t xml:space="preserve">where they </w:t>
      </w:r>
      <w:r w:rsidR="003215F8">
        <w:rPr>
          <w:snapToGrid w:val="0"/>
        </w:rPr>
        <w:t>ha</w:t>
      </w:r>
      <w:r w:rsidR="00784E27">
        <w:rPr>
          <w:snapToGrid w:val="0"/>
        </w:rPr>
        <w:t>ve</w:t>
      </w:r>
      <w:r w:rsidR="003215F8">
        <w:rPr>
          <w:snapToGrid w:val="0"/>
        </w:rPr>
        <w:t xml:space="preserve"> similar unit costs and </w:t>
      </w:r>
      <w:r w:rsidR="00784E27">
        <w:rPr>
          <w:snapToGrid w:val="0"/>
        </w:rPr>
        <w:t xml:space="preserve">are </w:t>
      </w:r>
      <w:r w:rsidR="003215F8">
        <w:rPr>
          <w:snapToGrid w:val="0"/>
        </w:rPr>
        <w:t>influenced by similar cost drivers</w:t>
      </w:r>
      <w:r w:rsidR="00455B91">
        <w:rPr>
          <w:snapToGrid w:val="0"/>
        </w:rPr>
        <w:t>.</w:t>
      </w:r>
    </w:p>
    <w:p w14:paraId="42E92571" w14:textId="7CB32A0E" w:rsidR="003215F8" w:rsidRDefault="00FF031F" w:rsidP="00B03F69">
      <w:pPr>
        <w:pStyle w:val="FSBullet1"/>
        <w:rPr>
          <w:snapToGrid w:val="0"/>
        </w:rPr>
      </w:pPr>
      <w:r>
        <w:rPr>
          <w:snapToGrid w:val="0"/>
        </w:rPr>
        <w:t>Agency</w:t>
      </w:r>
      <w:r w:rsidR="003215F8">
        <w:rPr>
          <w:snapToGrid w:val="0"/>
        </w:rPr>
        <w:t xml:space="preserve"> based </w:t>
      </w:r>
      <w:r w:rsidR="003D2885">
        <w:rPr>
          <w:snapToGrid w:val="0"/>
        </w:rPr>
        <w:t xml:space="preserve">focus </w:t>
      </w:r>
      <w:r w:rsidR="003215F8">
        <w:rPr>
          <w:snapToGrid w:val="0"/>
        </w:rPr>
        <w:t xml:space="preserve">– the model </w:t>
      </w:r>
      <w:r w:rsidR="00974DD6">
        <w:rPr>
          <w:snapToGrid w:val="0"/>
        </w:rPr>
        <w:t>should</w:t>
      </w:r>
      <w:r w:rsidR="003215F8">
        <w:rPr>
          <w:snapToGrid w:val="0"/>
        </w:rPr>
        <w:t xml:space="preserve"> objectively, consistently and accurately reflect the actual activities that the </w:t>
      </w:r>
      <w:r>
        <w:rPr>
          <w:snapToGrid w:val="0"/>
        </w:rPr>
        <w:t>agencies</w:t>
      </w:r>
      <w:r w:rsidR="003215F8">
        <w:rPr>
          <w:snapToGrid w:val="0"/>
        </w:rPr>
        <w:t xml:space="preserve"> undertake to incorporate the </w:t>
      </w:r>
      <w:r w:rsidR="001A5D8A">
        <w:rPr>
          <w:snapToGrid w:val="0"/>
        </w:rPr>
        <w:t xml:space="preserve">change to the Code </w:t>
      </w:r>
      <w:r w:rsidR="003215F8">
        <w:rPr>
          <w:snapToGrid w:val="0"/>
        </w:rPr>
        <w:t>into their regulatory system. To meet this objective</w:t>
      </w:r>
      <w:r w:rsidR="006245EF">
        <w:rPr>
          <w:snapToGrid w:val="0"/>
        </w:rPr>
        <w:t>,</w:t>
      </w:r>
      <w:r w:rsidR="003215F8">
        <w:rPr>
          <w:snapToGrid w:val="0"/>
        </w:rPr>
        <w:t xml:space="preserve"> the model need</w:t>
      </w:r>
      <w:r w:rsidR="00A33A0D">
        <w:rPr>
          <w:snapToGrid w:val="0"/>
        </w:rPr>
        <w:t>s</w:t>
      </w:r>
      <w:r w:rsidR="003215F8">
        <w:rPr>
          <w:snapToGrid w:val="0"/>
        </w:rPr>
        <w:t xml:space="preserve"> to be able to reflect the underlying regulatory context of the jurisdiction.</w:t>
      </w:r>
    </w:p>
    <w:p w14:paraId="054E3BB1" w14:textId="330BEB37" w:rsidR="003215F8" w:rsidRDefault="0024687E" w:rsidP="00B03F69">
      <w:pPr>
        <w:pStyle w:val="FSBullet1"/>
        <w:rPr>
          <w:snapToGrid w:val="0"/>
        </w:rPr>
      </w:pPr>
      <w:r>
        <w:rPr>
          <w:snapToGrid w:val="0"/>
        </w:rPr>
        <w:t>T</w:t>
      </w:r>
      <w:r w:rsidR="003215F8">
        <w:rPr>
          <w:snapToGrid w:val="0"/>
        </w:rPr>
        <w:t>ransparency – the model need</w:t>
      </w:r>
      <w:r w:rsidR="00A33A0D">
        <w:rPr>
          <w:snapToGrid w:val="0"/>
        </w:rPr>
        <w:t>s</w:t>
      </w:r>
      <w:r w:rsidR="003215F8">
        <w:rPr>
          <w:snapToGrid w:val="0"/>
        </w:rPr>
        <w:t xml:space="preserve"> to have a sensible li</w:t>
      </w:r>
      <w:r w:rsidR="00A24283">
        <w:rPr>
          <w:snapToGrid w:val="0"/>
        </w:rPr>
        <w:t xml:space="preserve">nk between the activities that </w:t>
      </w:r>
      <w:r w:rsidR="00FF031F">
        <w:rPr>
          <w:snapToGrid w:val="0"/>
        </w:rPr>
        <w:t>agencies</w:t>
      </w:r>
      <w:r w:rsidR="003215F8">
        <w:rPr>
          <w:snapToGrid w:val="0"/>
        </w:rPr>
        <w:t xml:space="preserve"> undertake to incorporate the </w:t>
      </w:r>
      <w:r w:rsidR="006E122A">
        <w:rPr>
          <w:snapToGrid w:val="0"/>
        </w:rPr>
        <w:t xml:space="preserve">change to the Code </w:t>
      </w:r>
      <w:r w:rsidR="003215F8">
        <w:rPr>
          <w:snapToGrid w:val="0"/>
        </w:rPr>
        <w:t>into their food regulatory system and the factors that are likely to influence the amount of work required to successfully undertake each of the activities (the cost drivers).</w:t>
      </w:r>
    </w:p>
    <w:p w14:paraId="2554AE66" w14:textId="77777777" w:rsidR="003215F8" w:rsidRDefault="0024687E" w:rsidP="00B03F69">
      <w:pPr>
        <w:pStyle w:val="FSBullet1"/>
        <w:rPr>
          <w:snapToGrid w:val="0"/>
        </w:rPr>
      </w:pPr>
      <w:r>
        <w:rPr>
          <w:snapToGrid w:val="0"/>
        </w:rPr>
        <w:t>C</w:t>
      </w:r>
      <w:r w:rsidR="003215F8">
        <w:rPr>
          <w:snapToGrid w:val="0"/>
        </w:rPr>
        <w:t xml:space="preserve">apacity for improvement – the model </w:t>
      </w:r>
      <w:r w:rsidR="00056813">
        <w:rPr>
          <w:snapToGrid w:val="0"/>
        </w:rPr>
        <w:t>should</w:t>
      </w:r>
      <w:r w:rsidR="003215F8">
        <w:rPr>
          <w:snapToGrid w:val="0"/>
        </w:rPr>
        <w:t xml:space="preserve"> be</w:t>
      </w:r>
      <w:r w:rsidR="00054B53">
        <w:rPr>
          <w:snapToGrid w:val="0"/>
        </w:rPr>
        <w:t xml:space="preserve"> able to be</w:t>
      </w:r>
      <w:r w:rsidR="003215F8">
        <w:rPr>
          <w:snapToGrid w:val="0"/>
        </w:rPr>
        <w:t xml:space="preserve"> improved as further information and more relevant cost data becomes </w:t>
      </w:r>
      <w:r w:rsidR="00361F23">
        <w:rPr>
          <w:snapToGrid w:val="0"/>
        </w:rPr>
        <w:t>available</w:t>
      </w:r>
      <w:r w:rsidR="003215F8">
        <w:rPr>
          <w:snapToGrid w:val="0"/>
        </w:rPr>
        <w:t>.</w:t>
      </w:r>
    </w:p>
    <w:p w14:paraId="3CB34244" w14:textId="77777777" w:rsidR="003215F8" w:rsidRDefault="0024687E" w:rsidP="00B03F69">
      <w:pPr>
        <w:pStyle w:val="FSBullet1"/>
      </w:pPr>
      <w:r>
        <w:rPr>
          <w:snapToGrid w:val="0"/>
        </w:rPr>
        <w:lastRenderedPageBreak/>
        <w:t>A</w:t>
      </w:r>
      <w:r w:rsidR="003215F8">
        <w:rPr>
          <w:snapToGrid w:val="0"/>
        </w:rPr>
        <w:t>dministration and operational feasibility – the model needs to be fit for purpose, useable and maintainable for FSANZ.</w:t>
      </w:r>
    </w:p>
    <w:p w14:paraId="440201EB" w14:textId="77777777" w:rsidR="001939F3" w:rsidRDefault="001939F3" w:rsidP="00BB301C">
      <w:pPr>
        <w:pStyle w:val="Heading3"/>
      </w:pPr>
      <w:bookmarkStart w:id="19" w:name="_Toc437598577"/>
      <w:bookmarkStart w:id="20" w:name="_Toc469999994"/>
      <w:bookmarkStart w:id="21" w:name="_Toc482357189"/>
      <w:r>
        <w:t>Pilot data collection</w:t>
      </w:r>
      <w:bookmarkEnd w:id="19"/>
      <w:bookmarkEnd w:id="20"/>
      <w:bookmarkEnd w:id="21"/>
    </w:p>
    <w:p w14:paraId="1C107EB2" w14:textId="6EA009C6" w:rsidR="003215F8" w:rsidRDefault="003D2885" w:rsidP="003215F8">
      <w:r>
        <w:rPr>
          <w:rFonts w:cs="Arial"/>
          <w:snapToGrid w:val="0"/>
        </w:rPr>
        <w:t>A</w:t>
      </w:r>
      <w:r w:rsidR="001939F3">
        <w:rPr>
          <w:rFonts w:cs="Arial"/>
          <w:snapToGrid w:val="0"/>
        </w:rPr>
        <w:t xml:space="preserve"> pilot consultation was undertaken </w:t>
      </w:r>
      <w:r w:rsidR="00314ED6">
        <w:rPr>
          <w:rFonts w:cs="Arial"/>
          <w:snapToGrid w:val="0"/>
        </w:rPr>
        <w:t>using</w:t>
      </w:r>
      <w:r w:rsidR="001939F3">
        <w:rPr>
          <w:rFonts w:cs="Arial"/>
          <w:snapToGrid w:val="0"/>
        </w:rPr>
        <w:t xml:space="preserve"> Tasmania to shape the data collection process. </w:t>
      </w:r>
      <w:r w:rsidR="00314ED6">
        <w:rPr>
          <w:rFonts w:cs="Arial"/>
          <w:snapToGrid w:val="0"/>
        </w:rPr>
        <w:t>I</w:t>
      </w:r>
      <w:r w:rsidR="001939F3">
        <w:rPr>
          <w:rFonts w:cs="Arial"/>
          <w:snapToGrid w:val="0"/>
        </w:rPr>
        <w:t xml:space="preserve">nitial discussions refined </w:t>
      </w:r>
      <w:r w:rsidR="006F3248">
        <w:rPr>
          <w:rFonts w:cs="Arial"/>
          <w:snapToGrid w:val="0"/>
        </w:rPr>
        <w:t>the</w:t>
      </w:r>
      <w:r w:rsidR="001939F3">
        <w:rPr>
          <w:rFonts w:cs="Arial"/>
          <w:snapToGrid w:val="0"/>
        </w:rPr>
        <w:t xml:space="preserve"> understanding of h</w:t>
      </w:r>
      <w:r w:rsidR="00A24283">
        <w:rPr>
          <w:rFonts w:cs="Arial"/>
          <w:snapToGrid w:val="0"/>
        </w:rPr>
        <w:t xml:space="preserve">ow the state’s food regulatory </w:t>
      </w:r>
      <w:r w:rsidR="000E22B7">
        <w:rPr>
          <w:rFonts w:cs="Arial"/>
          <w:snapToGrid w:val="0"/>
        </w:rPr>
        <w:t>a</w:t>
      </w:r>
      <w:r w:rsidR="00224642">
        <w:rPr>
          <w:rFonts w:cs="Arial"/>
          <w:snapToGrid w:val="0"/>
        </w:rPr>
        <w:t>gencies</w:t>
      </w:r>
      <w:r w:rsidR="001939F3">
        <w:rPr>
          <w:rFonts w:cs="Arial"/>
          <w:snapToGrid w:val="0"/>
        </w:rPr>
        <w:t xml:space="preserve"> interacted, the activities and costs of the food safety system, the incremental work involved in implementing changes to the system,</w:t>
      </w:r>
      <w:r w:rsidR="00A33A0D" w:rsidDel="00A33A0D">
        <w:rPr>
          <w:rFonts w:cs="Arial"/>
          <w:snapToGrid w:val="0"/>
        </w:rPr>
        <w:t xml:space="preserve"> </w:t>
      </w:r>
      <w:r w:rsidR="001939F3">
        <w:rPr>
          <w:rFonts w:cs="Arial"/>
          <w:snapToGrid w:val="0"/>
        </w:rPr>
        <w:t xml:space="preserve">and broad cost and work categories. </w:t>
      </w:r>
      <w:r w:rsidR="003215F8">
        <w:rPr>
          <w:rFonts w:cs="Arial"/>
          <w:snapToGrid w:val="0"/>
        </w:rPr>
        <w:t xml:space="preserve">With the assistance of the </w:t>
      </w:r>
      <w:r w:rsidR="00FF031F">
        <w:rPr>
          <w:rFonts w:cs="Arial"/>
          <w:snapToGrid w:val="0"/>
        </w:rPr>
        <w:t>agencies</w:t>
      </w:r>
      <w:r w:rsidR="001939F3">
        <w:rPr>
          <w:rFonts w:cs="Arial"/>
          <w:snapToGrid w:val="0"/>
        </w:rPr>
        <w:t xml:space="preserve">, </w:t>
      </w:r>
      <w:r w:rsidR="003215F8">
        <w:rPr>
          <w:rFonts w:cs="Arial"/>
          <w:snapToGrid w:val="0"/>
        </w:rPr>
        <w:t>the</w:t>
      </w:r>
      <w:r w:rsidR="001939F3">
        <w:rPr>
          <w:rFonts w:cs="Arial"/>
          <w:snapToGrid w:val="0"/>
        </w:rPr>
        <w:t xml:space="preserve"> factors likely to influence the costs involved in the activities </w:t>
      </w:r>
      <w:r w:rsidR="003215F8">
        <w:rPr>
          <w:rFonts w:cs="Arial"/>
          <w:snapToGrid w:val="0"/>
        </w:rPr>
        <w:t>were identified</w:t>
      </w:r>
      <w:r w:rsidR="00314ED6">
        <w:rPr>
          <w:rFonts w:cs="Arial"/>
          <w:snapToGrid w:val="0"/>
        </w:rPr>
        <w:t xml:space="preserve"> and b</w:t>
      </w:r>
      <w:r w:rsidR="001939F3">
        <w:rPr>
          <w:rFonts w:cs="Arial"/>
          <w:snapToGrid w:val="0"/>
        </w:rPr>
        <w:t>ased on this</w:t>
      </w:r>
      <w:r w:rsidR="003215F8">
        <w:rPr>
          <w:rFonts w:cs="Arial"/>
          <w:snapToGrid w:val="0"/>
        </w:rPr>
        <w:t>,</w:t>
      </w:r>
      <w:r w:rsidR="001939F3">
        <w:rPr>
          <w:rFonts w:cs="Arial"/>
          <w:snapToGrid w:val="0"/>
        </w:rPr>
        <w:t xml:space="preserve"> </w:t>
      </w:r>
      <w:r w:rsidR="003215F8">
        <w:rPr>
          <w:rFonts w:cs="Arial"/>
          <w:snapToGrid w:val="0"/>
        </w:rPr>
        <w:t>a dra</w:t>
      </w:r>
      <w:r w:rsidR="001939F3">
        <w:rPr>
          <w:rFonts w:cs="Arial"/>
          <w:snapToGrid w:val="0"/>
        </w:rPr>
        <w:t xml:space="preserve">ft government </w:t>
      </w:r>
      <w:r w:rsidR="00D831B3">
        <w:rPr>
          <w:rFonts w:cs="Arial"/>
          <w:snapToGrid w:val="0"/>
        </w:rPr>
        <w:t>c</w:t>
      </w:r>
      <w:r w:rsidR="001939F3">
        <w:rPr>
          <w:rFonts w:cs="Arial"/>
          <w:snapToGrid w:val="0"/>
        </w:rPr>
        <w:t>ost</w:t>
      </w:r>
      <w:r w:rsidR="003215F8">
        <w:rPr>
          <w:rFonts w:cs="Arial"/>
          <w:snapToGrid w:val="0"/>
        </w:rPr>
        <w:t>ing tool</w:t>
      </w:r>
      <w:r w:rsidR="001939F3">
        <w:rPr>
          <w:rFonts w:cs="Arial"/>
          <w:snapToGrid w:val="0"/>
        </w:rPr>
        <w:t xml:space="preserve"> </w:t>
      </w:r>
      <w:r w:rsidR="003215F8">
        <w:rPr>
          <w:rFonts w:cs="Arial"/>
          <w:snapToGrid w:val="0"/>
        </w:rPr>
        <w:t>was developed.</w:t>
      </w:r>
    </w:p>
    <w:p w14:paraId="3FD942D6" w14:textId="0CA3F508" w:rsidR="001939F3" w:rsidRDefault="001939F3" w:rsidP="001939F3">
      <w:r>
        <w:rPr>
          <w:rFonts w:cs="Arial"/>
          <w:snapToGrid w:val="0"/>
        </w:rPr>
        <w:t xml:space="preserve">The pilot study indicated that it was unlikely </w:t>
      </w:r>
      <w:r w:rsidR="001A5D8A">
        <w:rPr>
          <w:rFonts w:cs="Arial"/>
          <w:snapToGrid w:val="0"/>
        </w:rPr>
        <w:t>that</w:t>
      </w:r>
      <w:r>
        <w:rPr>
          <w:rFonts w:cs="Arial"/>
          <w:snapToGrid w:val="0"/>
        </w:rPr>
        <w:t xml:space="preserve"> precise cost data directly associated with implementing Code changes </w:t>
      </w:r>
      <w:r w:rsidR="001A5D8A">
        <w:rPr>
          <w:rFonts w:cs="Arial"/>
          <w:snapToGrid w:val="0"/>
        </w:rPr>
        <w:t xml:space="preserve">was obtainable </w:t>
      </w:r>
      <w:r>
        <w:rPr>
          <w:rFonts w:cs="Arial"/>
          <w:snapToGrid w:val="0"/>
        </w:rPr>
        <w:t xml:space="preserve">and so information collected </w:t>
      </w:r>
      <w:r w:rsidR="001670E0">
        <w:rPr>
          <w:rFonts w:cs="Arial"/>
          <w:snapToGrid w:val="0"/>
        </w:rPr>
        <w:t xml:space="preserve">would be </w:t>
      </w:r>
      <w:r>
        <w:rPr>
          <w:rFonts w:cs="Arial"/>
          <w:snapToGrid w:val="0"/>
        </w:rPr>
        <w:t xml:space="preserve">of a qualitative nature in some instances. Building on </w:t>
      </w:r>
      <w:r w:rsidR="001A5D8A">
        <w:rPr>
          <w:rFonts w:cs="Arial"/>
          <w:snapToGrid w:val="0"/>
        </w:rPr>
        <w:t>the</w:t>
      </w:r>
      <w:r>
        <w:rPr>
          <w:rFonts w:cs="Arial"/>
          <w:snapToGrid w:val="0"/>
        </w:rPr>
        <w:t xml:space="preserve"> experience with Tasmania and </w:t>
      </w:r>
      <w:r w:rsidR="000E13CA">
        <w:rPr>
          <w:rFonts w:cs="Arial"/>
          <w:snapToGrid w:val="0"/>
        </w:rPr>
        <w:t>including</w:t>
      </w:r>
      <w:r w:rsidR="00314ED6">
        <w:rPr>
          <w:rFonts w:cs="Arial"/>
          <w:snapToGrid w:val="0"/>
        </w:rPr>
        <w:t xml:space="preserve"> </w:t>
      </w:r>
      <w:r>
        <w:rPr>
          <w:rFonts w:cs="Arial"/>
          <w:snapToGrid w:val="0"/>
        </w:rPr>
        <w:t>academic advi</w:t>
      </w:r>
      <w:r w:rsidR="00F740F2">
        <w:rPr>
          <w:rFonts w:cs="Arial"/>
          <w:snapToGrid w:val="0"/>
        </w:rPr>
        <w:t>ce,</w:t>
      </w:r>
      <w:r>
        <w:t xml:space="preserve"> case studies of recent changes to the food standards </w:t>
      </w:r>
      <w:r w:rsidR="00314ED6">
        <w:t xml:space="preserve">were used </w:t>
      </w:r>
      <w:r>
        <w:t xml:space="preserve">in order to prompt discussion on the typical activities the </w:t>
      </w:r>
      <w:r w:rsidR="000E22B7">
        <w:t>a</w:t>
      </w:r>
      <w:r w:rsidR="00224642">
        <w:t>gencies</w:t>
      </w:r>
      <w:r>
        <w:t xml:space="preserve"> would undertake to incorporate a </w:t>
      </w:r>
      <w:r w:rsidR="007A6C06">
        <w:t>Code change</w:t>
      </w:r>
      <w:r>
        <w:t xml:space="preserve"> into their regulatory system.</w:t>
      </w:r>
    </w:p>
    <w:p w14:paraId="0CE5F339" w14:textId="1A9035B4" w:rsidR="001939F3" w:rsidRDefault="001939F3" w:rsidP="001939F3">
      <w:pPr>
        <w:rPr>
          <w:rFonts w:cs="Arial"/>
          <w:snapToGrid w:val="0"/>
        </w:rPr>
      </w:pPr>
      <w:r>
        <w:t xml:space="preserve">Not only </w:t>
      </w:r>
      <w:r w:rsidR="007F1A06">
        <w:t>d</w:t>
      </w:r>
      <w:r w:rsidR="001E7916">
        <w:t>id the</w:t>
      </w:r>
      <w:r w:rsidR="007F1A06">
        <w:t xml:space="preserve"> </w:t>
      </w:r>
      <w:r>
        <w:t xml:space="preserve">case studies identify the activities that the </w:t>
      </w:r>
      <w:r w:rsidR="000E22B7">
        <w:t>a</w:t>
      </w:r>
      <w:r w:rsidR="00224642">
        <w:t>gencies</w:t>
      </w:r>
      <w:r>
        <w:t xml:space="preserve"> undert</w:t>
      </w:r>
      <w:r w:rsidR="001E7916">
        <w:t>ake</w:t>
      </w:r>
      <w:r>
        <w:t xml:space="preserve"> to implement a </w:t>
      </w:r>
      <w:r w:rsidR="006245EF">
        <w:t>change to the Code,</w:t>
      </w:r>
      <w:r>
        <w:t xml:space="preserve"> but they also provide</w:t>
      </w:r>
      <w:r w:rsidR="00AC0615">
        <w:t>d</w:t>
      </w:r>
      <w:r>
        <w:t xml:space="preserve"> a means to determine how the heterogeneous underlying regulatory context affect</w:t>
      </w:r>
      <w:r w:rsidR="00A33A0D">
        <w:t>s</w:t>
      </w:r>
      <w:r>
        <w:t xml:space="preserve"> the implementation activities. </w:t>
      </w:r>
      <w:r w:rsidR="00314ED6">
        <w:t>Comparison</w:t>
      </w:r>
      <w:r w:rsidR="00A33A0D">
        <w:t xml:space="preserve"> of differences due to the underlying regulatory context of the jurisdiction</w:t>
      </w:r>
      <w:r w:rsidR="00A33A0D" w:rsidDel="00A33A0D">
        <w:t xml:space="preserve"> </w:t>
      </w:r>
      <w:r>
        <w:t xml:space="preserve">when </w:t>
      </w:r>
      <w:r w:rsidR="000E22B7">
        <w:t>a</w:t>
      </w:r>
      <w:r w:rsidR="00224642">
        <w:t>gencies</w:t>
      </w:r>
      <w:r>
        <w:t xml:space="preserve"> introduced the </w:t>
      </w:r>
      <w:r w:rsidR="001A5D8A">
        <w:t xml:space="preserve">same change to the Code </w:t>
      </w:r>
      <w:r>
        <w:t>was instrumental in being able to determine factors that are likely to drive implementation</w:t>
      </w:r>
      <w:r w:rsidR="00314ED6">
        <w:t xml:space="preserve"> </w:t>
      </w:r>
      <w:r>
        <w:t>costs given the information was qualitative in nature.</w:t>
      </w:r>
    </w:p>
    <w:p w14:paraId="6CB07F43" w14:textId="77777777" w:rsidR="001939F3" w:rsidRDefault="001939F3" w:rsidP="00BB301C">
      <w:pPr>
        <w:pStyle w:val="Heading3"/>
      </w:pPr>
      <w:bookmarkStart w:id="22" w:name="_Toc437598578"/>
      <w:bookmarkStart w:id="23" w:name="_Toc469999995"/>
      <w:bookmarkStart w:id="24" w:name="_Toc482357190"/>
      <w:r w:rsidRPr="00E9196A">
        <w:t>Data collection</w:t>
      </w:r>
      <w:bookmarkEnd w:id="22"/>
      <w:bookmarkEnd w:id="23"/>
      <w:bookmarkEnd w:id="24"/>
    </w:p>
    <w:p w14:paraId="4A0F17F6" w14:textId="77777777" w:rsidR="001939F3" w:rsidRDefault="001939F3" w:rsidP="001939F3">
      <w:r>
        <w:t>FSANZ collaborated with EY</w:t>
      </w:r>
      <w:r w:rsidR="0069716E">
        <w:t>, a</w:t>
      </w:r>
      <w:r w:rsidR="005B333A">
        <w:t xml:space="preserve"> large and experience</w:t>
      </w:r>
      <w:r w:rsidR="001E7916">
        <w:t>d</w:t>
      </w:r>
      <w:r w:rsidR="005B333A">
        <w:t xml:space="preserve"> consulting firm with extensive experience in government and data collection, to</w:t>
      </w:r>
      <w:r>
        <w:t xml:space="preserve"> undertake </w:t>
      </w:r>
      <w:r w:rsidR="001E7916">
        <w:t>the</w:t>
      </w:r>
      <w:r>
        <w:t xml:space="preserve"> explorative information collection process. This phase of the project </w:t>
      </w:r>
      <w:r w:rsidR="00E9196A">
        <w:t>involved the following steps.</w:t>
      </w:r>
    </w:p>
    <w:p w14:paraId="4017247D" w14:textId="38B997FC" w:rsidR="001939F3" w:rsidRDefault="00E9196A" w:rsidP="001939F3">
      <w:pPr>
        <w:pStyle w:val="FSBullet1"/>
      </w:pPr>
      <w:r>
        <w:t>A</w:t>
      </w:r>
      <w:r w:rsidR="00D37D1E">
        <w:t xml:space="preserve"> d</w:t>
      </w:r>
      <w:r w:rsidR="001939F3">
        <w:t>ata collection str</w:t>
      </w:r>
      <w:r w:rsidR="0075087B">
        <w:t>ategy – develop</w:t>
      </w:r>
      <w:r w:rsidR="00D37D1E">
        <w:t xml:space="preserve">ment of </w:t>
      </w:r>
      <w:r w:rsidR="0075087B">
        <w:t>a strategy for</w:t>
      </w:r>
      <w:r w:rsidR="001939F3">
        <w:t xml:space="preserve"> data collections based on findings from the pilot study and an EY desktop review of the key </w:t>
      </w:r>
      <w:r w:rsidR="000E22B7">
        <w:t>a</w:t>
      </w:r>
      <w:r w:rsidR="00224642">
        <w:t>gencies</w:t>
      </w:r>
      <w:r w:rsidR="001939F3">
        <w:t xml:space="preserve"> and their approaches to food regulation. The strategy involved developing a survey and case study questions tailored to each </w:t>
      </w:r>
      <w:r w:rsidR="000E22B7">
        <w:t>a</w:t>
      </w:r>
      <w:r w:rsidR="001939F3">
        <w:t>gency.</w:t>
      </w:r>
    </w:p>
    <w:p w14:paraId="52DFAD5F" w14:textId="78D8F0C4" w:rsidR="001939F3" w:rsidRPr="001417F7" w:rsidRDefault="00E9196A" w:rsidP="001939F3">
      <w:pPr>
        <w:pStyle w:val="FSBullet1"/>
        <w:rPr>
          <w:snapToGrid w:val="0"/>
        </w:rPr>
      </w:pPr>
      <w:r>
        <w:t>D</w:t>
      </w:r>
      <w:r w:rsidR="001939F3">
        <w:t xml:space="preserve">ata collection </w:t>
      </w:r>
      <w:r w:rsidR="001417F7">
        <w:t>–</w:t>
      </w:r>
      <w:r w:rsidR="001939F3">
        <w:t xml:space="preserve"> </w:t>
      </w:r>
      <w:r w:rsidR="001417F7">
        <w:t>This involved all Australian state</w:t>
      </w:r>
      <w:r w:rsidR="00A24283">
        <w:t xml:space="preserve"> and territory food regulatory </w:t>
      </w:r>
      <w:r w:rsidR="000E22B7">
        <w:t>a</w:t>
      </w:r>
      <w:r w:rsidR="00224642">
        <w:t>gencies</w:t>
      </w:r>
      <w:r w:rsidR="001417F7">
        <w:t>, two local councils from each jurisdiction, the New Zealand Ministry for Primary Industries and the Australian Department of Agriculture</w:t>
      </w:r>
      <w:r w:rsidR="000E22B7">
        <w:t xml:space="preserve"> and Water Resources</w:t>
      </w:r>
      <w:r w:rsidR="001417F7">
        <w:t xml:space="preserve">. Data collection was undertaken using </w:t>
      </w:r>
      <w:r w:rsidR="001939F3">
        <w:t>a two-stage approach of in-depth f</w:t>
      </w:r>
      <w:r w:rsidR="001939F3" w:rsidRPr="001417F7">
        <w:rPr>
          <w:snapToGrid w:val="0"/>
        </w:rPr>
        <w:t xml:space="preserve">ace-to-face consultations with </w:t>
      </w:r>
      <w:r w:rsidR="00FF031F">
        <w:rPr>
          <w:snapToGrid w:val="0"/>
        </w:rPr>
        <w:t>agencies</w:t>
      </w:r>
      <w:r w:rsidR="001939F3" w:rsidRPr="001417F7">
        <w:rPr>
          <w:snapToGrid w:val="0"/>
        </w:rPr>
        <w:t xml:space="preserve"> in New South Wales and Victoria, and a survey of</w:t>
      </w:r>
      <w:r w:rsidR="00361F23">
        <w:rPr>
          <w:snapToGrid w:val="0"/>
        </w:rPr>
        <w:t xml:space="preserve"> the</w:t>
      </w:r>
      <w:r w:rsidR="001939F3" w:rsidRPr="001417F7">
        <w:rPr>
          <w:snapToGrid w:val="0"/>
        </w:rPr>
        <w:t xml:space="preserve"> remaining Australian and New Zealand </w:t>
      </w:r>
      <w:r w:rsidR="000E22B7">
        <w:rPr>
          <w:snapToGrid w:val="0"/>
        </w:rPr>
        <w:t>a</w:t>
      </w:r>
      <w:r w:rsidR="00224642">
        <w:rPr>
          <w:snapToGrid w:val="0"/>
        </w:rPr>
        <w:t>gencies</w:t>
      </w:r>
      <w:r w:rsidR="001939F3" w:rsidRPr="001417F7">
        <w:rPr>
          <w:snapToGrid w:val="0"/>
        </w:rPr>
        <w:t xml:space="preserve">. The face-to-face </w:t>
      </w:r>
      <w:r w:rsidR="000E22B7">
        <w:rPr>
          <w:snapToGrid w:val="0"/>
        </w:rPr>
        <w:t>a</w:t>
      </w:r>
      <w:r w:rsidR="001939F3" w:rsidRPr="001417F7">
        <w:rPr>
          <w:snapToGrid w:val="0"/>
        </w:rPr>
        <w:t xml:space="preserve">gency consultations were staggered to allow </w:t>
      </w:r>
      <w:r w:rsidR="00F63A7B">
        <w:rPr>
          <w:snapToGrid w:val="0"/>
        </w:rPr>
        <w:t xml:space="preserve">for the </w:t>
      </w:r>
      <w:r w:rsidR="001939F3" w:rsidRPr="001417F7">
        <w:rPr>
          <w:snapToGrid w:val="0"/>
        </w:rPr>
        <w:t>incorporat</w:t>
      </w:r>
      <w:r w:rsidR="00F63A7B">
        <w:rPr>
          <w:snapToGrid w:val="0"/>
        </w:rPr>
        <w:t>ion of</w:t>
      </w:r>
      <w:r w:rsidR="001939F3" w:rsidRPr="001417F7">
        <w:rPr>
          <w:snapToGrid w:val="0"/>
        </w:rPr>
        <w:t xml:space="preserve"> lessons learnt from each set of consultations into </w:t>
      </w:r>
      <w:r w:rsidR="00F63A7B">
        <w:rPr>
          <w:snapToGrid w:val="0"/>
        </w:rPr>
        <w:t>the</w:t>
      </w:r>
      <w:r w:rsidR="001939F3" w:rsidRPr="001417F7">
        <w:rPr>
          <w:snapToGrid w:val="0"/>
        </w:rPr>
        <w:t xml:space="preserve"> data collection strategy</w:t>
      </w:r>
      <w:r w:rsidR="00C60AEF">
        <w:rPr>
          <w:snapToGrid w:val="0"/>
        </w:rPr>
        <w:t xml:space="preserve">, in order </w:t>
      </w:r>
      <w:r w:rsidR="001939F3" w:rsidRPr="001417F7">
        <w:rPr>
          <w:snapToGrid w:val="0"/>
        </w:rPr>
        <w:t>to ensure maximum value from the consultations and consistency in data collect</w:t>
      </w:r>
      <w:r w:rsidR="00C60AEF">
        <w:rPr>
          <w:snapToGrid w:val="0"/>
        </w:rPr>
        <w:t>ion</w:t>
      </w:r>
      <w:r w:rsidR="001939F3" w:rsidRPr="001417F7">
        <w:rPr>
          <w:snapToGrid w:val="0"/>
        </w:rPr>
        <w:t xml:space="preserve">. </w:t>
      </w:r>
      <w:r w:rsidR="001939F3">
        <w:t xml:space="preserve">Detailed agendas to facilitate discussion were developed. The survey of the remaining </w:t>
      </w:r>
      <w:r w:rsidR="000E22B7">
        <w:t>a</w:t>
      </w:r>
      <w:r w:rsidR="00224642">
        <w:t>gencies</w:t>
      </w:r>
      <w:r w:rsidR="001939F3">
        <w:t xml:space="preserve"> involved a two-page ‘data guidance’ document, which outlined the objective of the project and the data being sought </w:t>
      </w:r>
      <w:r w:rsidR="00C60AEF">
        <w:t>and used</w:t>
      </w:r>
      <w:r w:rsidR="001939F3">
        <w:t xml:space="preserve"> examples.</w:t>
      </w:r>
    </w:p>
    <w:p w14:paraId="6A0AE6CF" w14:textId="77777777" w:rsidR="001939F3" w:rsidRPr="0093311A" w:rsidRDefault="00E9196A" w:rsidP="001939F3">
      <w:pPr>
        <w:pStyle w:val="FSBullet1"/>
      </w:pPr>
      <w:r>
        <w:t>D</w:t>
      </w:r>
      <w:r w:rsidR="001939F3">
        <w:t>ata quality assurance – checks on the completeness, accuracy and consistency of the data collected w</w:t>
      </w:r>
      <w:r w:rsidR="00EF7459">
        <w:t>ere</w:t>
      </w:r>
      <w:r>
        <w:t xml:space="preserve"> </w:t>
      </w:r>
      <w:r w:rsidR="001939F3">
        <w:t>undertaken throughout the whole process.</w:t>
      </w:r>
    </w:p>
    <w:p w14:paraId="3F45701C" w14:textId="35998897" w:rsidR="001939F3" w:rsidRDefault="001939F3" w:rsidP="001939F3">
      <w:pPr>
        <w:rPr>
          <w:snapToGrid w:val="0"/>
        </w:rPr>
      </w:pPr>
      <w:r>
        <w:rPr>
          <w:snapToGrid w:val="0"/>
        </w:rPr>
        <w:t xml:space="preserve">New Zealand government, and Australian state and territory government </w:t>
      </w:r>
      <w:r w:rsidR="000E22B7">
        <w:rPr>
          <w:snapToGrid w:val="0"/>
        </w:rPr>
        <w:t>a</w:t>
      </w:r>
      <w:r w:rsidR="00224642">
        <w:rPr>
          <w:snapToGrid w:val="0"/>
        </w:rPr>
        <w:t>gencies</w:t>
      </w:r>
      <w:r>
        <w:rPr>
          <w:snapToGrid w:val="0"/>
        </w:rPr>
        <w:t xml:space="preserve"> were approached to participate in the project</w:t>
      </w:r>
      <w:r w:rsidR="00D65DDA">
        <w:rPr>
          <w:snapToGrid w:val="0"/>
        </w:rPr>
        <w:t>, as well as</w:t>
      </w:r>
      <w:r>
        <w:rPr>
          <w:snapToGrid w:val="0"/>
        </w:rPr>
        <w:t xml:space="preserve"> two local government councils from each state.</w:t>
      </w:r>
      <w:r w:rsidRPr="000C6F19">
        <w:rPr>
          <w:snapToGrid w:val="0"/>
        </w:rPr>
        <w:t xml:space="preserve"> We </w:t>
      </w:r>
      <w:r w:rsidR="00361F23">
        <w:rPr>
          <w:snapToGrid w:val="0"/>
        </w:rPr>
        <w:t>were</w:t>
      </w:r>
      <w:r w:rsidRPr="000C6F19">
        <w:rPr>
          <w:snapToGrid w:val="0"/>
        </w:rPr>
        <w:t xml:space="preserve"> unable to </w:t>
      </w:r>
      <w:r w:rsidR="00361F23">
        <w:rPr>
          <w:snapToGrid w:val="0"/>
        </w:rPr>
        <w:t>obtain</w:t>
      </w:r>
      <w:r w:rsidRPr="000C6F19">
        <w:rPr>
          <w:snapToGrid w:val="0"/>
        </w:rPr>
        <w:t xml:space="preserve"> information from the Northern Territory, Queensland Department of Health </w:t>
      </w:r>
      <w:r w:rsidR="00E9196A">
        <w:rPr>
          <w:snapToGrid w:val="0"/>
        </w:rPr>
        <w:t>or</w:t>
      </w:r>
      <w:r w:rsidRPr="000C6F19">
        <w:rPr>
          <w:snapToGrid w:val="0"/>
        </w:rPr>
        <w:t xml:space="preserve"> the New Zealand Ministry for Primary Industries.</w:t>
      </w:r>
    </w:p>
    <w:p w14:paraId="65EAC500" w14:textId="5E19C638" w:rsidR="001939F3" w:rsidRDefault="001939F3" w:rsidP="001939F3">
      <w:pPr>
        <w:rPr>
          <w:snapToGrid w:val="0"/>
        </w:rPr>
      </w:pPr>
      <w:r>
        <w:rPr>
          <w:snapToGrid w:val="0"/>
        </w:rPr>
        <w:lastRenderedPageBreak/>
        <w:t xml:space="preserve">This </w:t>
      </w:r>
      <w:r w:rsidR="00D65DDA">
        <w:rPr>
          <w:snapToGrid w:val="0"/>
        </w:rPr>
        <w:t xml:space="preserve">data collection </w:t>
      </w:r>
      <w:r>
        <w:rPr>
          <w:snapToGrid w:val="0"/>
        </w:rPr>
        <w:t xml:space="preserve">phase took three months and generated a significant volume of data and information from the 31 </w:t>
      </w:r>
      <w:r w:rsidR="00FF031F">
        <w:rPr>
          <w:snapToGrid w:val="0"/>
        </w:rPr>
        <w:t>agencies</w:t>
      </w:r>
      <w:r>
        <w:rPr>
          <w:snapToGrid w:val="0"/>
        </w:rPr>
        <w:t xml:space="preserve"> that</w:t>
      </w:r>
      <w:r w:rsidR="00271C83">
        <w:rPr>
          <w:snapToGrid w:val="0"/>
        </w:rPr>
        <w:t xml:space="preserve"> </w:t>
      </w:r>
      <w:r>
        <w:rPr>
          <w:snapToGrid w:val="0"/>
        </w:rPr>
        <w:t>participate</w:t>
      </w:r>
      <w:r w:rsidR="00361F23">
        <w:rPr>
          <w:snapToGrid w:val="0"/>
        </w:rPr>
        <w:t>d</w:t>
      </w:r>
      <w:r w:rsidR="004F1997">
        <w:rPr>
          <w:rStyle w:val="FootnoteReference"/>
          <w:snapToGrid w:val="0"/>
        </w:rPr>
        <w:footnoteReference w:id="5"/>
      </w:r>
      <w:r>
        <w:rPr>
          <w:snapToGrid w:val="0"/>
        </w:rPr>
        <w:t>.</w:t>
      </w:r>
    </w:p>
    <w:p w14:paraId="7A94813D" w14:textId="77777777" w:rsidR="006E14AF" w:rsidRDefault="000F5C00" w:rsidP="006E14AF">
      <w:pPr>
        <w:rPr>
          <w:rFonts w:cs="Arial"/>
        </w:rPr>
      </w:pPr>
      <w:r>
        <w:t xml:space="preserve">Information was collected on </w:t>
      </w:r>
      <w:r w:rsidR="006A622E">
        <w:t>the activities that could be involved in in</w:t>
      </w:r>
      <w:r>
        <w:t>corporating a Code change into the jurisdictions’ food regulatory system</w:t>
      </w:r>
      <w:r w:rsidR="00E9196A">
        <w:t xml:space="preserve">; </w:t>
      </w:r>
      <w:r w:rsidR="006A622E">
        <w:t xml:space="preserve">how to estimate the cost of each activity and the factors that are cost drivers for each of the activities. </w:t>
      </w:r>
      <w:r w:rsidR="00D65DDA">
        <w:rPr>
          <w:rFonts w:cs="Arial"/>
        </w:rPr>
        <w:t>T</w:t>
      </w:r>
      <w:r w:rsidR="006E14AF">
        <w:rPr>
          <w:rFonts w:cs="Arial"/>
        </w:rPr>
        <w:t>he characteristics of the risk management options that might influence costs</w:t>
      </w:r>
      <w:r w:rsidR="00D65DDA">
        <w:rPr>
          <w:rFonts w:cs="Arial"/>
        </w:rPr>
        <w:t xml:space="preserve"> </w:t>
      </w:r>
      <w:r w:rsidR="006E14AF">
        <w:rPr>
          <w:rFonts w:cs="Arial"/>
        </w:rPr>
        <w:t xml:space="preserve">and the underlying regulatory context are </w:t>
      </w:r>
      <w:r w:rsidR="00974DD6">
        <w:rPr>
          <w:rFonts w:cs="Arial"/>
        </w:rPr>
        <w:t xml:space="preserve">collectively </w:t>
      </w:r>
      <w:r w:rsidR="006E14AF">
        <w:rPr>
          <w:rFonts w:cs="Arial"/>
        </w:rPr>
        <w:t xml:space="preserve">referred to as </w:t>
      </w:r>
      <w:r w:rsidR="00D65DDA">
        <w:rPr>
          <w:rFonts w:cs="Arial"/>
        </w:rPr>
        <w:t>‘</w:t>
      </w:r>
      <w:r w:rsidR="006E14AF">
        <w:rPr>
          <w:rFonts w:cs="Arial"/>
        </w:rPr>
        <w:t>cost drivers</w:t>
      </w:r>
      <w:r w:rsidR="00D65DDA">
        <w:rPr>
          <w:rFonts w:cs="Arial"/>
        </w:rPr>
        <w:t>’</w:t>
      </w:r>
      <w:r w:rsidR="006E14AF">
        <w:rPr>
          <w:rFonts w:cs="Arial"/>
        </w:rPr>
        <w:t>.</w:t>
      </w:r>
    </w:p>
    <w:p w14:paraId="2E2F051C" w14:textId="1DD6497B" w:rsidR="006A622E" w:rsidRDefault="00AC0615" w:rsidP="006A622E">
      <w:pPr>
        <w:keepLines/>
        <w:spacing w:after="0"/>
        <w:rPr>
          <w:rFonts w:cs="Arial"/>
        </w:rPr>
      </w:pPr>
      <w:r>
        <w:t>T</w:t>
      </w:r>
      <w:r w:rsidR="006A622E">
        <w:t xml:space="preserve">he jurisdictions have key inherent differences, or underlying regulatory context, </w:t>
      </w:r>
      <w:r w:rsidR="00FD5893">
        <w:t>which</w:t>
      </w:r>
      <w:r w:rsidR="006A622E">
        <w:t xml:space="preserve"> means</w:t>
      </w:r>
      <w:r w:rsidR="00FD5893">
        <w:t xml:space="preserve"> that</w:t>
      </w:r>
      <w:r w:rsidR="006A622E">
        <w:t xml:space="preserve"> each </w:t>
      </w:r>
      <w:r w:rsidR="000E22B7">
        <w:t>a</w:t>
      </w:r>
      <w:r w:rsidR="006A622E">
        <w:t xml:space="preserve">gency </w:t>
      </w:r>
      <w:r w:rsidR="00F01642">
        <w:t xml:space="preserve">is </w:t>
      </w:r>
      <w:r w:rsidR="006A622E">
        <w:t xml:space="preserve">uniquely affected by </w:t>
      </w:r>
      <w:r w:rsidR="006A622E">
        <w:rPr>
          <w:rFonts w:cs="Arial"/>
        </w:rPr>
        <w:t xml:space="preserve">each risk management option and that </w:t>
      </w:r>
      <w:r w:rsidR="00D65DDA">
        <w:rPr>
          <w:rFonts w:cs="Arial"/>
        </w:rPr>
        <w:t xml:space="preserve">each has </w:t>
      </w:r>
      <w:r w:rsidR="006A622E">
        <w:rPr>
          <w:rFonts w:cs="Arial"/>
        </w:rPr>
        <w:t>different unit cost</w:t>
      </w:r>
      <w:r w:rsidR="005B333A">
        <w:rPr>
          <w:rFonts w:cs="Arial"/>
        </w:rPr>
        <w:t>s</w:t>
      </w:r>
      <w:r w:rsidR="006A622E">
        <w:rPr>
          <w:rFonts w:cs="Arial"/>
        </w:rPr>
        <w:t xml:space="preserve"> </w:t>
      </w:r>
      <w:r w:rsidR="005B333A">
        <w:rPr>
          <w:rFonts w:cs="Arial"/>
        </w:rPr>
        <w:t>associated with</w:t>
      </w:r>
      <w:r w:rsidR="006A622E">
        <w:rPr>
          <w:rFonts w:cs="Arial"/>
        </w:rPr>
        <w:t xml:space="preserve"> implementation activities. The underlying regulatory context of the jurisdictions is influenced by</w:t>
      </w:r>
      <w:r w:rsidR="00F01642">
        <w:rPr>
          <w:rFonts w:cs="Arial"/>
        </w:rPr>
        <w:t xml:space="preserve"> factors such as:</w:t>
      </w:r>
    </w:p>
    <w:p w14:paraId="5CE3D810" w14:textId="77777777" w:rsidR="000E13CA" w:rsidRPr="00D34ECE" w:rsidRDefault="000E13CA" w:rsidP="006A622E">
      <w:pPr>
        <w:keepLines/>
        <w:spacing w:after="0"/>
        <w:rPr>
          <w:rFonts w:cs="Arial"/>
        </w:rPr>
      </w:pPr>
    </w:p>
    <w:p w14:paraId="2BE4D64C" w14:textId="77777777" w:rsidR="006A622E" w:rsidRDefault="000E13CA" w:rsidP="006A622E">
      <w:pPr>
        <w:pStyle w:val="FSBullet1"/>
      </w:pPr>
      <w:r>
        <w:t>industry</w:t>
      </w:r>
      <w:r w:rsidR="006A622E">
        <w:t xml:space="preserve"> </w:t>
      </w:r>
      <w:r w:rsidR="00F01642">
        <w:t xml:space="preserve">type </w:t>
      </w:r>
      <w:r w:rsidR="006A622E">
        <w:t>and concentrations of industries</w:t>
      </w:r>
    </w:p>
    <w:p w14:paraId="04FDFE73" w14:textId="77777777" w:rsidR="006A622E" w:rsidRPr="002E5690" w:rsidRDefault="000E13CA" w:rsidP="006A622E">
      <w:pPr>
        <w:pStyle w:val="FSBullet1"/>
      </w:pPr>
      <w:r>
        <w:t>d</w:t>
      </w:r>
      <w:r w:rsidR="006A622E">
        <w:t>iffer</w:t>
      </w:r>
      <w:r w:rsidR="00F01642">
        <w:t>ing</w:t>
      </w:r>
      <w:r>
        <w:t xml:space="preserve"> </w:t>
      </w:r>
      <w:r w:rsidR="006A622E">
        <w:t>numbers, types and sizes of businesses</w:t>
      </w:r>
      <w:r w:rsidR="00E80CA2">
        <w:t xml:space="preserve"> within the industries</w:t>
      </w:r>
    </w:p>
    <w:p w14:paraId="1F173747" w14:textId="3138AC07" w:rsidR="006A622E" w:rsidRPr="00D34ECE" w:rsidRDefault="00FF031F" w:rsidP="006A622E">
      <w:pPr>
        <w:pStyle w:val="FSBullet1"/>
      </w:pPr>
      <w:r>
        <w:t>agency</w:t>
      </w:r>
      <w:r w:rsidR="006A622E">
        <w:t xml:space="preserve"> a</w:t>
      </w:r>
      <w:r w:rsidR="006A622E" w:rsidRPr="00D34ECE">
        <w:t>pproach</w:t>
      </w:r>
      <w:r w:rsidR="00F01642">
        <w:t>es</w:t>
      </w:r>
      <w:r w:rsidR="006A622E">
        <w:t xml:space="preserve"> </w:t>
      </w:r>
      <w:r w:rsidR="006A622E" w:rsidRPr="00D34ECE">
        <w:t>to food safety and levels of business support</w:t>
      </w:r>
    </w:p>
    <w:p w14:paraId="58B06CCB" w14:textId="77777777" w:rsidR="006A622E" w:rsidRPr="00D34ECE" w:rsidRDefault="000E13CA" w:rsidP="006A622E">
      <w:pPr>
        <w:pStyle w:val="FSBullet1"/>
      </w:pPr>
      <w:r>
        <w:t>e</w:t>
      </w:r>
      <w:r w:rsidR="006A622E" w:rsidRPr="00D34ECE">
        <w:t>xtent of the use of Third Party Auditors (TPAs)</w:t>
      </w:r>
      <w:r w:rsidR="006A622E">
        <w:t xml:space="preserve"> for the specific industry or type of business</w:t>
      </w:r>
    </w:p>
    <w:p w14:paraId="034A84F6" w14:textId="77777777" w:rsidR="006A622E" w:rsidRPr="00D34ECE" w:rsidRDefault="000E13CA" w:rsidP="006A622E">
      <w:pPr>
        <w:pStyle w:val="FSBullet1"/>
      </w:pPr>
      <w:r>
        <w:t>l</w:t>
      </w:r>
      <w:r w:rsidR="006A622E" w:rsidRPr="00D34ECE">
        <w:t>evel of delegation to local councils</w:t>
      </w:r>
    </w:p>
    <w:p w14:paraId="5CDB8358" w14:textId="77777777" w:rsidR="006A622E" w:rsidRPr="00D34ECE" w:rsidRDefault="000E13CA" w:rsidP="006A622E">
      <w:pPr>
        <w:pStyle w:val="FSBullet1"/>
      </w:pPr>
      <w:r>
        <w:t>s</w:t>
      </w:r>
      <w:r w:rsidR="006A622E" w:rsidRPr="00D34ECE">
        <w:t>chemes for setting fees and audit/inspection frequency</w:t>
      </w:r>
    </w:p>
    <w:p w14:paraId="6C4AA6BA" w14:textId="77777777" w:rsidR="006A622E" w:rsidRPr="00D34ECE" w:rsidRDefault="000E13CA" w:rsidP="006A622E">
      <w:pPr>
        <w:pStyle w:val="FSBullet1"/>
      </w:pPr>
      <w:r>
        <w:t>a</w:t>
      </w:r>
      <w:r w:rsidR="000F1670">
        <w:t>ny r</w:t>
      </w:r>
      <w:r w:rsidR="006A622E" w:rsidRPr="00D34ECE">
        <w:t>equirement to have on-site food safety supervisors</w:t>
      </w:r>
    </w:p>
    <w:p w14:paraId="06EB23A9" w14:textId="77777777" w:rsidR="006A622E" w:rsidRPr="00D34ECE" w:rsidRDefault="000E13CA" w:rsidP="006A622E">
      <w:pPr>
        <w:pStyle w:val="FSBullet1"/>
      </w:pPr>
      <w:r>
        <w:t>p</w:t>
      </w:r>
      <w:r w:rsidR="006A622E" w:rsidRPr="00D34ECE">
        <w:t xml:space="preserve">reviously existing </w:t>
      </w:r>
      <w:r w:rsidR="006A622E">
        <w:t>jurisdiction</w:t>
      </w:r>
      <w:r w:rsidR="000F1670">
        <w:t>-</w:t>
      </w:r>
      <w:r w:rsidR="006A622E" w:rsidRPr="00D34ECE">
        <w:t>based regulation</w:t>
      </w:r>
    </w:p>
    <w:p w14:paraId="05C3C810" w14:textId="77777777" w:rsidR="006A622E" w:rsidRDefault="000E13CA" w:rsidP="006A622E">
      <w:pPr>
        <w:pStyle w:val="FSBullet1"/>
      </w:pPr>
      <w:r>
        <w:t>r</w:t>
      </w:r>
      <w:r w:rsidR="006A622E">
        <w:t>emoteness and wage costs</w:t>
      </w:r>
    </w:p>
    <w:p w14:paraId="42DED418" w14:textId="4CFE3B59" w:rsidR="006A622E" w:rsidRPr="00D34ECE" w:rsidRDefault="000E13CA" w:rsidP="006A622E">
      <w:pPr>
        <w:pStyle w:val="FSBullet1"/>
      </w:pPr>
      <w:r>
        <w:t>r</w:t>
      </w:r>
      <w:r w:rsidR="006A622E">
        <w:t xml:space="preserve">oles and responsibilities of the </w:t>
      </w:r>
      <w:r w:rsidR="000E22B7">
        <w:t>a</w:t>
      </w:r>
      <w:r w:rsidR="00224642">
        <w:t>gencies</w:t>
      </w:r>
      <w:r w:rsidR="006A622E">
        <w:t xml:space="preserve"> in the jurisdictions</w:t>
      </w:r>
      <w:r w:rsidR="0024687E">
        <w:t>.</w:t>
      </w:r>
    </w:p>
    <w:p w14:paraId="797B8517" w14:textId="77777777" w:rsidR="006A622E" w:rsidRDefault="006A622E" w:rsidP="006A622E">
      <w:pPr>
        <w:rPr>
          <w:rFonts w:cs="Arial"/>
        </w:rPr>
      </w:pPr>
      <w:r w:rsidRPr="00D34ECE">
        <w:rPr>
          <w:rFonts w:cs="Arial"/>
        </w:rPr>
        <w:t xml:space="preserve">Not only do these factors differ between the jurisdictions, but </w:t>
      </w:r>
      <w:r w:rsidR="000F1670">
        <w:rPr>
          <w:rFonts w:cs="Arial"/>
        </w:rPr>
        <w:t xml:space="preserve">there is also </w:t>
      </w:r>
      <w:r w:rsidRPr="00D34ECE">
        <w:rPr>
          <w:rFonts w:cs="Arial"/>
        </w:rPr>
        <w:t>significant variation within jurisdictions as most local councils have independence in setting audit</w:t>
      </w:r>
      <w:r>
        <w:rPr>
          <w:rFonts w:cs="Arial"/>
        </w:rPr>
        <w:t xml:space="preserve"> or </w:t>
      </w:r>
      <w:r w:rsidRPr="00D34ECE">
        <w:rPr>
          <w:rFonts w:cs="Arial"/>
        </w:rPr>
        <w:t xml:space="preserve">inspection schedules and </w:t>
      </w:r>
      <w:r>
        <w:rPr>
          <w:rFonts w:cs="Arial"/>
        </w:rPr>
        <w:t>in</w:t>
      </w:r>
      <w:r w:rsidRPr="00D34ECE">
        <w:rPr>
          <w:rFonts w:cs="Arial"/>
        </w:rPr>
        <w:t xml:space="preserve"> determining fees for businesses within their area.</w:t>
      </w:r>
    </w:p>
    <w:p w14:paraId="12ADC489" w14:textId="77777777" w:rsidR="006A622E" w:rsidRDefault="006A622E" w:rsidP="006A622E">
      <w:r>
        <w:t>The heterogeneous starting points (i.e. existing jurisdiction regulation)</w:t>
      </w:r>
      <w:r w:rsidR="00FD5893">
        <w:t xml:space="preserve"> and</w:t>
      </w:r>
      <w:r>
        <w:t xml:space="preserve"> end points (i.e. different implementation strategies), different geographical factors and concentrations of industries and businesses </w:t>
      </w:r>
      <w:r w:rsidR="000E13CA">
        <w:t xml:space="preserve">have </w:t>
      </w:r>
      <w:r>
        <w:t>highlighted the</w:t>
      </w:r>
      <w:r w:rsidR="005B333A">
        <w:t xml:space="preserve"> potential</w:t>
      </w:r>
      <w:r>
        <w:t xml:space="preserve"> inappropriateness of extrapolating data across the different jurisdictions. An aggregate national tool could not consistently and accurately capture implementation costs that reflect the differing r</w:t>
      </w:r>
      <w:r w:rsidR="00094523">
        <w:t>ealities of each of the jurisdictions</w:t>
      </w:r>
      <w:r>
        <w:t>.</w:t>
      </w:r>
    </w:p>
    <w:p w14:paraId="2F5974F1" w14:textId="77777777" w:rsidR="006A622E" w:rsidRDefault="006A622E" w:rsidP="006A622E">
      <w:pPr>
        <w:rPr>
          <w:snapToGrid w:val="0"/>
        </w:rPr>
      </w:pPr>
      <w:r>
        <w:rPr>
          <w:rFonts w:cs="Arial"/>
        </w:rPr>
        <w:t>Thus the simplified activity</w:t>
      </w:r>
      <w:r w:rsidR="00FF4633">
        <w:rPr>
          <w:rFonts w:cs="Arial"/>
        </w:rPr>
        <w:t>-</w:t>
      </w:r>
      <w:r>
        <w:rPr>
          <w:rFonts w:cs="Arial"/>
        </w:rPr>
        <w:t>based costing approach provide</w:t>
      </w:r>
      <w:r w:rsidR="000E13CA">
        <w:rPr>
          <w:rFonts w:cs="Arial"/>
        </w:rPr>
        <w:t>s</w:t>
      </w:r>
      <w:r>
        <w:rPr>
          <w:rFonts w:cs="Arial"/>
        </w:rPr>
        <w:t xml:space="preserve"> FSANZ with the flexibility to reflect the numerous facets that influence government implementation costs</w:t>
      </w:r>
      <w:r w:rsidR="000E13CA">
        <w:rPr>
          <w:rFonts w:cs="Arial"/>
        </w:rPr>
        <w:t>,</w:t>
      </w:r>
      <w:r>
        <w:rPr>
          <w:rFonts w:cs="Arial"/>
        </w:rPr>
        <w:t xml:space="preserve"> whether it be the underlying context of the jurisdiction, or nuanced differences between the risk management options.</w:t>
      </w:r>
    </w:p>
    <w:p w14:paraId="15E80BBC" w14:textId="77777777" w:rsidR="001939F3" w:rsidRPr="007F1B4D" w:rsidRDefault="001939F3" w:rsidP="00BB301C">
      <w:pPr>
        <w:pStyle w:val="Heading3"/>
      </w:pPr>
      <w:bookmarkStart w:id="25" w:name="_Toc437598579"/>
      <w:bookmarkStart w:id="26" w:name="_Toc469999996"/>
      <w:bookmarkStart w:id="27" w:name="_Toc482357191"/>
      <w:r>
        <w:t>Analysis and development</w:t>
      </w:r>
      <w:bookmarkEnd w:id="25"/>
      <w:bookmarkEnd w:id="26"/>
      <w:bookmarkEnd w:id="27"/>
    </w:p>
    <w:p w14:paraId="0216D808" w14:textId="27956B32" w:rsidR="00412CFC" w:rsidRDefault="009172D1" w:rsidP="001939F3">
      <w:r>
        <w:rPr>
          <w:lang w:eastAsia="en-AU"/>
        </w:rPr>
        <w:t xml:space="preserve">This phase </w:t>
      </w:r>
      <w:r w:rsidR="00FC64EF">
        <w:rPr>
          <w:lang w:eastAsia="en-AU"/>
        </w:rPr>
        <w:t xml:space="preserve">aimed to determine </w:t>
      </w:r>
      <w:r w:rsidR="00412CFC">
        <w:rPr>
          <w:lang w:eastAsia="en-AU"/>
        </w:rPr>
        <w:t xml:space="preserve">if there are commonalities across the </w:t>
      </w:r>
      <w:r w:rsidR="000E22B7">
        <w:rPr>
          <w:lang w:eastAsia="en-AU"/>
        </w:rPr>
        <w:t>a</w:t>
      </w:r>
      <w:r w:rsidR="00224642">
        <w:rPr>
          <w:lang w:eastAsia="en-AU"/>
        </w:rPr>
        <w:t>gencies</w:t>
      </w:r>
      <w:r w:rsidR="00BD3EE8">
        <w:rPr>
          <w:lang w:eastAsia="en-AU"/>
        </w:rPr>
        <w:t xml:space="preserve"> in activities undertaken</w:t>
      </w:r>
      <w:r w:rsidR="00543988">
        <w:rPr>
          <w:lang w:eastAsia="en-AU"/>
        </w:rPr>
        <w:t xml:space="preserve"> and </w:t>
      </w:r>
      <w:r w:rsidR="00412CFC">
        <w:rPr>
          <w:lang w:eastAsia="en-AU"/>
        </w:rPr>
        <w:t xml:space="preserve">if these </w:t>
      </w:r>
      <w:r w:rsidR="00FC64EF">
        <w:rPr>
          <w:lang w:eastAsia="en-AU"/>
        </w:rPr>
        <w:t xml:space="preserve">common </w:t>
      </w:r>
      <w:r w:rsidR="00412CFC">
        <w:rPr>
          <w:lang w:eastAsia="en-AU"/>
        </w:rPr>
        <w:t xml:space="preserve">activities </w:t>
      </w:r>
      <w:r w:rsidR="00FC64EF">
        <w:rPr>
          <w:lang w:eastAsia="en-AU"/>
        </w:rPr>
        <w:t xml:space="preserve">could </w:t>
      </w:r>
      <w:r w:rsidR="00412CFC">
        <w:rPr>
          <w:lang w:eastAsia="en-AU"/>
        </w:rPr>
        <w:t>b</w:t>
      </w:r>
      <w:r w:rsidR="00BD3EE8">
        <w:rPr>
          <w:lang w:eastAsia="en-AU"/>
        </w:rPr>
        <w:t>e converted to a monetary value</w:t>
      </w:r>
      <w:r w:rsidR="00543988">
        <w:rPr>
          <w:lang w:eastAsia="en-AU"/>
        </w:rPr>
        <w:t xml:space="preserve"> as well as</w:t>
      </w:r>
      <w:r w:rsidR="00BD3EE8">
        <w:rPr>
          <w:lang w:eastAsia="en-AU"/>
        </w:rPr>
        <w:t xml:space="preserve"> how they should be incorporated into the FSANZ CBA </w:t>
      </w:r>
      <w:r w:rsidR="00FF031F">
        <w:rPr>
          <w:lang w:eastAsia="en-AU"/>
        </w:rPr>
        <w:t>framework</w:t>
      </w:r>
      <w:r w:rsidR="00BD3EE8">
        <w:rPr>
          <w:lang w:eastAsia="en-AU"/>
        </w:rPr>
        <w:t>.</w:t>
      </w:r>
    </w:p>
    <w:p w14:paraId="416A6F3E" w14:textId="0B9D5000" w:rsidR="001939F3" w:rsidRDefault="001939F3" w:rsidP="001939F3">
      <w:r>
        <w:t xml:space="preserve">As anticipated from the pilot study, the data that the </w:t>
      </w:r>
      <w:r w:rsidR="000E22B7">
        <w:t>a</w:t>
      </w:r>
      <w:r w:rsidR="00224642">
        <w:t>gencies</w:t>
      </w:r>
      <w:r>
        <w:t xml:space="preserve"> hold does not </w:t>
      </w:r>
      <w:r w:rsidR="009172D1">
        <w:t>necessarily</w:t>
      </w:r>
      <w:r>
        <w:t xml:space="preserve"> capture the </w:t>
      </w:r>
      <w:r w:rsidR="00A66BFD">
        <w:t xml:space="preserve">incremental net </w:t>
      </w:r>
      <w:r>
        <w:t xml:space="preserve">costs of </w:t>
      </w:r>
      <w:r>
        <w:rPr>
          <w:rFonts w:cs="Arial"/>
        </w:rPr>
        <w:t>incorporating Code changes into their food regulatory systems.</w:t>
      </w:r>
      <w:r>
        <w:t xml:space="preserve"> However, the qualitative information collected from the case studies highlighted strong similarities in the implementation str</w:t>
      </w:r>
      <w:r w:rsidR="00A24283">
        <w:t xml:space="preserve">ategies of the food regulatory </w:t>
      </w:r>
      <w:r w:rsidR="000E22B7">
        <w:t>a</w:t>
      </w:r>
      <w:r w:rsidR="00224642">
        <w:t>gencies</w:t>
      </w:r>
      <w:r>
        <w:t xml:space="preserve">. </w:t>
      </w:r>
      <w:r w:rsidR="000E22B7">
        <w:t>The s</w:t>
      </w:r>
      <w:r>
        <w:rPr>
          <w:rFonts w:cs="Arial"/>
        </w:rPr>
        <w:t xml:space="preserve">imilarities in the implementation activities enabled </w:t>
      </w:r>
      <w:r w:rsidR="002D1736">
        <w:rPr>
          <w:rFonts w:cs="Arial"/>
        </w:rPr>
        <w:t>a</w:t>
      </w:r>
      <w:r>
        <w:rPr>
          <w:rFonts w:cs="Arial"/>
        </w:rPr>
        <w:t xml:space="preserve"> theoretical structure to be developed </w:t>
      </w:r>
      <w:r w:rsidR="00FC64EF">
        <w:rPr>
          <w:rFonts w:cs="Arial"/>
        </w:rPr>
        <w:t xml:space="preserve">to </w:t>
      </w:r>
      <w:r>
        <w:rPr>
          <w:rFonts w:cs="Arial"/>
        </w:rPr>
        <w:t>isolat</w:t>
      </w:r>
      <w:r w:rsidR="00FC64EF">
        <w:rPr>
          <w:rFonts w:cs="Arial"/>
        </w:rPr>
        <w:t>e</w:t>
      </w:r>
      <w:r w:rsidR="001B2B93">
        <w:rPr>
          <w:rFonts w:cs="Arial"/>
        </w:rPr>
        <w:t xml:space="preserve"> </w:t>
      </w:r>
      <w:r>
        <w:rPr>
          <w:rFonts w:cs="Arial"/>
        </w:rPr>
        <w:t>those activities specific to incorporat</w:t>
      </w:r>
      <w:r w:rsidR="00FC64EF">
        <w:rPr>
          <w:rFonts w:cs="Arial"/>
        </w:rPr>
        <w:t>ion of</w:t>
      </w:r>
      <w:r>
        <w:rPr>
          <w:rFonts w:cs="Arial"/>
        </w:rPr>
        <w:t xml:space="preserve"> Code changes.</w:t>
      </w:r>
    </w:p>
    <w:p w14:paraId="2B3A6A2E" w14:textId="5DE9FCC1" w:rsidR="001939F3" w:rsidRPr="000C6F19" w:rsidRDefault="001939F3" w:rsidP="00AB795A">
      <w:pPr>
        <w:keepNext/>
        <w:keepLines/>
        <w:rPr>
          <w:snapToGrid w:val="0"/>
        </w:rPr>
      </w:pPr>
      <w:r>
        <w:lastRenderedPageBreak/>
        <w:t>Ideally, the costs of the implementation activities</w:t>
      </w:r>
      <w:r w:rsidR="00A66BFD">
        <w:t xml:space="preserve"> would have been directly observable and </w:t>
      </w:r>
      <w:r w:rsidR="00DC1425">
        <w:t xml:space="preserve">steered </w:t>
      </w:r>
      <w:r>
        <w:t xml:space="preserve">the theoretical structure for estimating these costs. The </w:t>
      </w:r>
      <w:r w:rsidR="00FF0872">
        <w:t>G</w:t>
      </w:r>
      <w:r>
        <w:t xml:space="preserve">overnment </w:t>
      </w:r>
      <w:r w:rsidR="00FF0872">
        <w:t>C</w:t>
      </w:r>
      <w:r>
        <w:t xml:space="preserve">ost </w:t>
      </w:r>
      <w:r w:rsidR="00FF031F">
        <w:t>Framework</w:t>
      </w:r>
      <w:r>
        <w:t xml:space="preserve"> captures costs incurred because the </w:t>
      </w:r>
      <w:r w:rsidR="00FF031F">
        <w:t>agencies</w:t>
      </w:r>
      <w:r>
        <w:t xml:space="preserve"> </w:t>
      </w:r>
      <w:r w:rsidR="00872127">
        <w:t>need</w:t>
      </w:r>
      <w:r>
        <w:t xml:space="preserve"> to introduce the </w:t>
      </w:r>
      <w:r w:rsidR="006E122A">
        <w:t>change to the Code into the food regulatory system of the jurisdiction</w:t>
      </w:r>
      <w:r>
        <w:t xml:space="preserve">. The </w:t>
      </w:r>
      <w:r w:rsidR="006C53C6">
        <w:t>a</w:t>
      </w:r>
      <w:r w:rsidR="00224642">
        <w:t>gencies</w:t>
      </w:r>
      <w:r>
        <w:t xml:space="preserve"> undertake a significant body of work in the normal administration of the food regulatory system, and t</w:t>
      </w:r>
      <w:r w:rsidR="00A66BFD">
        <w:t xml:space="preserve">he work involved in introducing </w:t>
      </w:r>
      <w:r w:rsidR="00872127">
        <w:t xml:space="preserve">many of the </w:t>
      </w:r>
      <w:r w:rsidR="00A66BFD">
        <w:t>changes to the Code</w:t>
      </w:r>
      <w:r>
        <w:t xml:space="preserve"> </w:t>
      </w:r>
      <w:r w:rsidR="00D3322E">
        <w:t>are</w:t>
      </w:r>
      <w:r>
        <w:t xml:space="preserve"> generally </w:t>
      </w:r>
      <w:r w:rsidR="00872127">
        <w:t>small</w:t>
      </w:r>
      <w:r w:rsidR="00D3322E">
        <w:t xml:space="preserve"> (e.g. small labelling changes or allowance of an additional food additive)</w:t>
      </w:r>
      <w:r>
        <w:t>. Perhaps because of this, there is limited data captured on the incremental work involved in implementation</w:t>
      </w:r>
      <w:r w:rsidR="00D3322E">
        <w:t>.</w:t>
      </w:r>
      <w:r w:rsidRPr="00D34ECE">
        <w:t xml:space="preserve"> </w:t>
      </w:r>
      <w:r>
        <w:rPr>
          <w:snapToGrid w:val="0"/>
        </w:rPr>
        <w:t xml:space="preserve">Although </w:t>
      </w:r>
      <w:r w:rsidRPr="00D34ECE">
        <w:t xml:space="preserve">the jurisdictions were </w:t>
      </w:r>
      <w:r>
        <w:t>not able to provide the incremental cost data</w:t>
      </w:r>
      <w:r w:rsidR="004246B2">
        <w:t>,</w:t>
      </w:r>
      <w:r>
        <w:t xml:space="preserve"> they were </w:t>
      </w:r>
      <w:r w:rsidRPr="00D34ECE">
        <w:t>able to provide general costs on administering the fo</w:t>
      </w:r>
      <w:r>
        <w:t>od safety system in their jurisdictions, and from this</w:t>
      </w:r>
      <w:r w:rsidR="0009060B">
        <w:t>,</w:t>
      </w:r>
      <w:r>
        <w:t xml:space="preserve"> estimates of the unit cost of implementation activities</w:t>
      </w:r>
      <w:r w:rsidR="00FC64EF">
        <w:t xml:space="preserve"> were</w:t>
      </w:r>
      <w:r w:rsidR="004246B2">
        <w:t xml:space="preserve"> created</w:t>
      </w:r>
      <w:r>
        <w:t xml:space="preserve">. </w:t>
      </w:r>
      <w:r>
        <w:rPr>
          <w:rFonts w:cs="Arial"/>
        </w:rPr>
        <w:t xml:space="preserve">Despite the limitations in the quantitative data, the development of a </w:t>
      </w:r>
      <w:r w:rsidR="00FF0872">
        <w:rPr>
          <w:rFonts w:cs="Arial"/>
        </w:rPr>
        <w:t>G</w:t>
      </w:r>
      <w:r>
        <w:rPr>
          <w:rFonts w:cs="Arial"/>
        </w:rPr>
        <w:t xml:space="preserve">overnment </w:t>
      </w:r>
      <w:r w:rsidR="00FF0872">
        <w:rPr>
          <w:rFonts w:cs="Arial"/>
        </w:rPr>
        <w:t>C</w:t>
      </w:r>
      <w:r>
        <w:rPr>
          <w:rFonts w:cs="Arial"/>
        </w:rPr>
        <w:t xml:space="preserve">ost </w:t>
      </w:r>
      <w:r w:rsidR="00FF031F">
        <w:rPr>
          <w:rFonts w:cs="Arial"/>
        </w:rPr>
        <w:t>Framework</w:t>
      </w:r>
      <w:r w:rsidR="00E82261">
        <w:rPr>
          <w:rFonts w:cs="Arial"/>
        </w:rPr>
        <w:t xml:space="preserve"> has b</w:t>
      </w:r>
      <w:r w:rsidR="00FC64EF">
        <w:rPr>
          <w:rFonts w:cs="Arial"/>
        </w:rPr>
        <w:t>egun</w:t>
      </w:r>
      <w:r>
        <w:rPr>
          <w:rFonts w:cs="Arial"/>
        </w:rPr>
        <w:t xml:space="preserve">. </w:t>
      </w:r>
      <w:r w:rsidR="00D3322E">
        <w:t>Whil</w:t>
      </w:r>
      <w:r w:rsidR="00424456">
        <w:t>e</w:t>
      </w:r>
      <w:r w:rsidR="00D3322E">
        <w:t xml:space="preserve"> the</w:t>
      </w:r>
      <w:r>
        <w:t xml:space="preserve"> data is not ideal for isolating the incremental costs</w:t>
      </w:r>
      <w:r w:rsidR="008B46F8">
        <w:rPr>
          <w:rFonts w:cs="Arial"/>
        </w:rPr>
        <w:t>,</w:t>
      </w:r>
      <w:r w:rsidR="00EF0514">
        <w:rPr>
          <w:rFonts w:cs="Arial"/>
        </w:rPr>
        <w:t xml:space="preserve"> the</w:t>
      </w:r>
      <w:r w:rsidR="008B46F8">
        <w:rPr>
          <w:rFonts w:cs="Arial"/>
        </w:rPr>
        <w:t xml:space="preserve"> </w:t>
      </w:r>
      <w:r>
        <w:rPr>
          <w:rFonts w:cs="Arial"/>
        </w:rPr>
        <w:t xml:space="preserve">theoretical structure </w:t>
      </w:r>
      <w:r w:rsidR="008B46F8">
        <w:rPr>
          <w:rFonts w:cs="Arial"/>
        </w:rPr>
        <w:t xml:space="preserve">has been populated </w:t>
      </w:r>
      <w:r>
        <w:rPr>
          <w:rFonts w:cs="Arial"/>
        </w:rPr>
        <w:t xml:space="preserve">with sufficient data </w:t>
      </w:r>
      <w:r w:rsidR="00D3322E">
        <w:rPr>
          <w:rFonts w:cs="Arial"/>
        </w:rPr>
        <w:t>to allow</w:t>
      </w:r>
      <w:r>
        <w:rPr>
          <w:rFonts w:cs="Arial"/>
        </w:rPr>
        <w:t xml:space="preserve"> preliminary government implementation cost estimates to</w:t>
      </w:r>
      <w:r w:rsidR="00D3322E">
        <w:rPr>
          <w:rFonts w:cs="Arial"/>
        </w:rPr>
        <w:t xml:space="preserve"> be created which</w:t>
      </w:r>
      <w:r>
        <w:rPr>
          <w:rFonts w:cs="Arial"/>
        </w:rPr>
        <w:t xml:space="preserve"> </w:t>
      </w:r>
      <w:r>
        <w:t xml:space="preserve">indicate the </w:t>
      </w:r>
      <w:r w:rsidR="008B6780">
        <w:t>significance</w:t>
      </w:r>
      <w:r w:rsidR="00D3322E">
        <w:t xml:space="preserve"> and likely</w:t>
      </w:r>
      <w:r>
        <w:t xml:space="preserve"> magnitude</w:t>
      </w:r>
      <w:r w:rsidR="00D3322E">
        <w:t xml:space="preserve"> </w:t>
      </w:r>
      <w:r>
        <w:t>of the costs as a starting point for further consultation</w:t>
      </w:r>
      <w:r w:rsidR="00D3322E">
        <w:t xml:space="preserve"> </w:t>
      </w:r>
      <w:r w:rsidR="00AB795A">
        <w:t>with the jurisdictions</w:t>
      </w:r>
      <w:r w:rsidR="008B46F8">
        <w:t>.</w:t>
      </w:r>
    </w:p>
    <w:p w14:paraId="7B082A38" w14:textId="7492601C" w:rsidR="001939F3" w:rsidRDefault="005F289F" w:rsidP="001939F3">
      <w:pPr>
        <w:rPr>
          <w:rFonts w:cs="Arial"/>
          <w:snapToGrid w:val="0"/>
        </w:rPr>
      </w:pPr>
      <w:r>
        <w:rPr>
          <w:rFonts w:cs="Arial"/>
          <w:snapToGrid w:val="0"/>
        </w:rPr>
        <w:t>T</w:t>
      </w:r>
      <w:r w:rsidR="001939F3">
        <w:rPr>
          <w:rFonts w:cs="Arial"/>
          <w:snapToGrid w:val="0"/>
        </w:rPr>
        <w:t>he complexity and integrated nature of the cost drivers means that the level of detail capture</w:t>
      </w:r>
      <w:r>
        <w:rPr>
          <w:rFonts w:cs="Arial"/>
          <w:snapToGrid w:val="0"/>
        </w:rPr>
        <w:t>d</w:t>
      </w:r>
      <w:r w:rsidR="001939F3">
        <w:rPr>
          <w:rFonts w:cs="Arial"/>
          <w:snapToGrid w:val="0"/>
        </w:rPr>
        <w:t xml:space="preserve"> in the activity</w:t>
      </w:r>
      <w:r w:rsidR="00FF4633">
        <w:rPr>
          <w:rFonts w:cs="Arial"/>
          <w:snapToGrid w:val="0"/>
        </w:rPr>
        <w:t>-</w:t>
      </w:r>
      <w:r w:rsidR="001939F3">
        <w:rPr>
          <w:rFonts w:cs="Arial"/>
          <w:snapToGrid w:val="0"/>
        </w:rPr>
        <w:t>based costing structure allow</w:t>
      </w:r>
      <w:r>
        <w:rPr>
          <w:rFonts w:cs="Arial"/>
          <w:snapToGrid w:val="0"/>
        </w:rPr>
        <w:t>s</w:t>
      </w:r>
      <w:r w:rsidR="001939F3">
        <w:rPr>
          <w:rFonts w:cs="Arial"/>
          <w:snapToGrid w:val="0"/>
        </w:rPr>
        <w:t xml:space="preserve"> </w:t>
      </w:r>
      <w:r>
        <w:rPr>
          <w:rFonts w:cs="Arial"/>
          <w:snapToGrid w:val="0"/>
        </w:rPr>
        <w:t xml:space="preserve">for </w:t>
      </w:r>
      <w:r w:rsidR="001939F3">
        <w:rPr>
          <w:rFonts w:cs="Arial"/>
          <w:snapToGrid w:val="0"/>
        </w:rPr>
        <w:t xml:space="preserve">each </w:t>
      </w:r>
      <w:r w:rsidR="006C53C6">
        <w:rPr>
          <w:rFonts w:cs="Arial"/>
          <w:snapToGrid w:val="0"/>
        </w:rPr>
        <w:t>a</w:t>
      </w:r>
      <w:r w:rsidR="001939F3">
        <w:rPr>
          <w:rFonts w:cs="Arial"/>
          <w:snapToGrid w:val="0"/>
        </w:rPr>
        <w:t xml:space="preserve">gency to be considered </w:t>
      </w:r>
      <w:r w:rsidR="001B2B93">
        <w:rPr>
          <w:rFonts w:cs="Arial"/>
          <w:snapToGrid w:val="0"/>
        </w:rPr>
        <w:t>individuall</w:t>
      </w:r>
      <w:r w:rsidR="001939F3">
        <w:rPr>
          <w:rFonts w:cs="Arial"/>
          <w:snapToGrid w:val="0"/>
        </w:rPr>
        <w:t xml:space="preserve">y for each risk management option to produce maximum flexibility and accuracy in cost </w:t>
      </w:r>
      <w:r w:rsidR="006D43FD">
        <w:rPr>
          <w:rFonts w:cs="Arial"/>
          <w:snapToGrid w:val="0"/>
        </w:rPr>
        <w:t>estimate</w:t>
      </w:r>
      <w:r w:rsidR="001939F3">
        <w:rPr>
          <w:rFonts w:cs="Arial"/>
          <w:snapToGrid w:val="0"/>
        </w:rPr>
        <w:t xml:space="preserve">s. However, </w:t>
      </w:r>
      <w:r w:rsidR="00D3322E">
        <w:rPr>
          <w:rFonts w:cs="Arial"/>
          <w:snapToGrid w:val="0"/>
        </w:rPr>
        <w:t xml:space="preserve">as already indicated </w:t>
      </w:r>
      <w:r w:rsidR="001939F3">
        <w:rPr>
          <w:rFonts w:cs="Arial"/>
          <w:snapToGrid w:val="0"/>
        </w:rPr>
        <w:t xml:space="preserve">the accuracy of cost </w:t>
      </w:r>
      <w:r w:rsidR="006D43FD">
        <w:rPr>
          <w:rFonts w:cs="Arial"/>
          <w:snapToGrid w:val="0"/>
        </w:rPr>
        <w:t>estimate</w:t>
      </w:r>
      <w:r w:rsidR="001939F3">
        <w:rPr>
          <w:rFonts w:cs="Arial"/>
          <w:snapToGrid w:val="0"/>
        </w:rPr>
        <w:t>s are limited by the cost data that underpins the costing tool.</w:t>
      </w:r>
    </w:p>
    <w:p w14:paraId="03489970" w14:textId="77777777" w:rsidR="003B5F7B" w:rsidRDefault="003B5F7B" w:rsidP="00BB301C">
      <w:pPr>
        <w:pStyle w:val="Heading3"/>
        <w:rPr>
          <w:snapToGrid w:val="0"/>
        </w:rPr>
      </w:pPr>
      <w:bookmarkStart w:id="28" w:name="_Toc469999997"/>
      <w:bookmarkStart w:id="29" w:name="_Toc482357192"/>
      <w:r>
        <w:rPr>
          <w:snapToGrid w:val="0"/>
        </w:rPr>
        <w:t>Consultation and refinement</w:t>
      </w:r>
      <w:bookmarkEnd w:id="28"/>
      <w:bookmarkEnd w:id="29"/>
    </w:p>
    <w:p w14:paraId="3CEF1FDB" w14:textId="791A2217" w:rsidR="00412CFC" w:rsidRDefault="00530FBA" w:rsidP="00AC4358">
      <w:pPr>
        <w:rPr>
          <w:lang w:eastAsia="en-AU"/>
        </w:rPr>
      </w:pPr>
      <w:r>
        <w:rPr>
          <w:lang w:eastAsia="en-AU"/>
        </w:rPr>
        <w:t xml:space="preserve">FSANZ </w:t>
      </w:r>
      <w:r w:rsidR="00D5487F">
        <w:rPr>
          <w:lang w:eastAsia="en-AU"/>
        </w:rPr>
        <w:t>has obtained</w:t>
      </w:r>
      <w:r>
        <w:rPr>
          <w:lang w:eastAsia="en-AU"/>
        </w:rPr>
        <w:t xml:space="preserve"> feedback on the methodology and </w:t>
      </w:r>
      <w:r w:rsidR="00D3322E">
        <w:rPr>
          <w:lang w:eastAsia="en-AU"/>
        </w:rPr>
        <w:t xml:space="preserve">the </w:t>
      </w:r>
      <w:r>
        <w:rPr>
          <w:lang w:eastAsia="en-AU"/>
        </w:rPr>
        <w:t xml:space="preserve">first version of the </w:t>
      </w:r>
      <w:r w:rsidR="00D5487F">
        <w:rPr>
          <w:lang w:eastAsia="en-AU"/>
        </w:rPr>
        <w:t>f</w:t>
      </w:r>
      <w:r w:rsidR="00FF031F">
        <w:rPr>
          <w:lang w:eastAsia="en-AU"/>
        </w:rPr>
        <w:t>ramework</w:t>
      </w:r>
      <w:r>
        <w:rPr>
          <w:lang w:eastAsia="en-AU"/>
        </w:rPr>
        <w:t xml:space="preserve"> </w:t>
      </w:r>
      <w:r w:rsidR="003159BC">
        <w:rPr>
          <w:lang w:eastAsia="en-AU"/>
        </w:rPr>
        <w:t xml:space="preserve">from </w:t>
      </w:r>
      <w:r w:rsidR="006C53C6">
        <w:rPr>
          <w:lang w:eastAsia="en-AU"/>
        </w:rPr>
        <w:t>a</w:t>
      </w:r>
      <w:r w:rsidR="00224642">
        <w:rPr>
          <w:lang w:eastAsia="en-AU"/>
        </w:rPr>
        <w:t>gencies</w:t>
      </w:r>
      <w:r w:rsidR="003159BC">
        <w:rPr>
          <w:lang w:eastAsia="en-AU"/>
        </w:rPr>
        <w:t>, economists and the OBPR.</w:t>
      </w:r>
      <w:r w:rsidR="006C53C6">
        <w:rPr>
          <w:lang w:eastAsia="en-AU"/>
        </w:rPr>
        <w:t xml:space="preserve"> </w:t>
      </w:r>
      <w:r w:rsidR="00AC4358">
        <w:t>It is anticipated that the Framework will be refined and improved over time with the collection of improved costing data and increased experience in estimating government costs.</w:t>
      </w:r>
    </w:p>
    <w:p w14:paraId="3CA5D9B8" w14:textId="77777777" w:rsidR="001B2B93" w:rsidRPr="001B2B93" w:rsidRDefault="001B2B93" w:rsidP="001B2B93">
      <w:pPr>
        <w:rPr>
          <w:lang w:eastAsia="en-AU"/>
        </w:rPr>
      </w:pPr>
    </w:p>
    <w:p w14:paraId="419E346C" w14:textId="7A9AB447" w:rsidR="007B0724" w:rsidRDefault="0005049D" w:rsidP="00AD4F54">
      <w:pPr>
        <w:pStyle w:val="Heading1"/>
        <w:rPr>
          <w:lang w:eastAsia="en-AU"/>
        </w:rPr>
      </w:pPr>
      <w:bookmarkStart w:id="30" w:name="_Toc469999999"/>
      <w:bookmarkStart w:id="31" w:name="_Toc482357193"/>
      <w:r>
        <w:rPr>
          <w:lang w:eastAsia="en-AU"/>
        </w:rPr>
        <w:t xml:space="preserve">Consideration of which </w:t>
      </w:r>
      <w:r w:rsidR="006C53C6">
        <w:rPr>
          <w:lang w:eastAsia="en-AU"/>
        </w:rPr>
        <w:t>a</w:t>
      </w:r>
      <w:r w:rsidR="007B0724">
        <w:rPr>
          <w:lang w:eastAsia="en-AU"/>
        </w:rPr>
        <w:t>gency implementation activities</w:t>
      </w:r>
      <w:r>
        <w:rPr>
          <w:lang w:eastAsia="en-AU"/>
        </w:rPr>
        <w:t xml:space="preserve"> should and should not be taken</w:t>
      </w:r>
      <w:r w:rsidR="00277DE2">
        <w:rPr>
          <w:lang w:eastAsia="en-AU"/>
        </w:rPr>
        <w:t xml:space="preserve"> into account</w:t>
      </w:r>
      <w:bookmarkEnd w:id="30"/>
      <w:bookmarkEnd w:id="31"/>
    </w:p>
    <w:p w14:paraId="6D4DDF22" w14:textId="5064FEFB" w:rsidR="006F6A81" w:rsidRDefault="00E00C1C" w:rsidP="006F6A81">
      <w:pPr>
        <w:keepLines/>
        <w:rPr>
          <w:rFonts w:cs="Arial"/>
        </w:rPr>
      </w:pPr>
      <w:r>
        <w:rPr>
          <w:rFonts w:cs="Arial"/>
        </w:rPr>
        <w:t>Four</w:t>
      </w:r>
      <w:r w:rsidR="0065639E" w:rsidRPr="00D34ECE">
        <w:rPr>
          <w:rFonts w:cs="Arial"/>
        </w:rPr>
        <w:t xml:space="preserve"> distinct groups of activities </w:t>
      </w:r>
      <w:r w:rsidR="0065639E">
        <w:rPr>
          <w:rFonts w:cs="Arial"/>
        </w:rPr>
        <w:t xml:space="preserve">were </w:t>
      </w:r>
      <w:r w:rsidR="0065639E" w:rsidRPr="00D34ECE">
        <w:rPr>
          <w:rFonts w:cs="Arial"/>
        </w:rPr>
        <w:t xml:space="preserve">identified by </w:t>
      </w:r>
      <w:r w:rsidR="00820C8C">
        <w:rPr>
          <w:rFonts w:cs="Arial"/>
        </w:rPr>
        <w:t>a</w:t>
      </w:r>
      <w:r w:rsidR="00224642">
        <w:rPr>
          <w:rFonts w:cs="Arial"/>
        </w:rPr>
        <w:t>gencies</w:t>
      </w:r>
      <w:r w:rsidR="0065639E" w:rsidRPr="00D34ECE">
        <w:rPr>
          <w:rFonts w:cs="Arial"/>
        </w:rPr>
        <w:t xml:space="preserve"> </w:t>
      </w:r>
      <w:r>
        <w:rPr>
          <w:rFonts w:cs="Arial"/>
        </w:rPr>
        <w:t>in administering their food regulatory systems</w:t>
      </w:r>
      <w:r w:rsidR="00D10B43">
        <w:rPr>
          <w:rFonts w:cs="Arial"/>
        </w:rPr>
        <w:t>.</w:t>
      </w:r>
      <w:r w:rsidR="003E2F31">
        <w:rPr>
          <w:rFonts w:cs="Arial"/>
        </w:rPr>
        <w:t xml:space="preserve"> </w:t>
      </w:r>
      <w:r w:rsidR="00D3322E">
        <w:rPr>
          <w:rFonts w:cs="Arial"/>
        </w:rPr>
        <w:t xml:space="preserve">The jurisdictions’ implementation costs were considered in the context of what constitutes OBPR compliant analysis of regulation impact and standard approaches to </w:t>
      </w:r>
      <w:r w:rsidR="00FF0872">
        <w:rPr>
          <w:rFonts w:cs="Arial"/>
        </w:rPr>
        <w:t>CBA</w:t>
      </w:r>
      <w:r w:rsidR="00692699">
        <w:rPr>
          <w:rFonts w:cs="Arial"/>
        </w:rPr>
        <w:t>, which</w:t>
      </w:r>
      <w:r w:rsidR="00D3322E">
        <w:rPr>
          <w:rFonts w:cs="Arial"/>
        </w:rPr>
        <w:t xml:space="preserve"> led to a subset of costs being considered as </w:t>
      </w:r>
      <w:r w:rsidR="001B2B93">
        <w:rPr>
          <w:rFonts w:cs="Arial"/>
        </w:rPr>
        <w:t>‘</w:t>
      </w:r>
      <w:r w:rsidR="00D3322E">
        <w:rPr>
          <w:rFonts w:cs="Arial"/>
        </w:rPr>
        <w:t>out of scope</w:t>
      </w:r>
      <w:r w:rsidR="001B2B93">
        <w:rPr>
          <w:rFonts w:cs="Arial"/>
        </w:rPr>
        <w:t>’</w:t>
      </w:r>
      <w:r w:rsidR="00D3322E">
        <w:rPr>
          <w:rFonts w:cs="Arial"/>
        </w:rPr>
        <w:t xml:space="preserve">. </w:t>
      </w:r>
      <w:r w:rsidR="00D10B43">
        <w:rPr>
          <w:rFonts w:cs="Arial"/>
        </w:rPr>
        <w:t>A</w:t>
      </w:r>
      <w:r w:rsidR="003E2F31">
        <w:rPr>
          <w:rFonts w:cs="Arial"/>
        </w:rPr>
        <w:t>ctivities that would be captured</w:t>
      </w:r>
      <w:r w:rsidR="00E56FD7">
        <w:rPr>
          <w:rFonts w:cs="Arial"/>
        </w:rPr>
        <w:t xml:space="preserve"> in </w:t>
      </w:r>
      <w:r w:rsidR="00D10B43">
        <w:rPr>
          <w:rFonts w:cs="Arial"/>
        </w:rPr>
        <w:t>FSANZ CBA</w:t>
      </w:r>
      <w:r w:rsidR="003E2F31">
        <w:rPr>
          <w:rFonts w:cs="Arial"/>
        </w:rPr>
        <w:t xml:space="preserve"> </w:t>
      </w:r>
      <w:r w:rsidR="005530F6">
        <w:rPr>
          <w:rFonts w:cs="Arial"/>
        </w:rPr>
        <w:t>are outlined below.</w:t>
      </w:r>
      <w:r w:rsidR="006F6A81" w:rsidRPr="006F6A81">
        <w:rPr>
          <w:rFonts w:cs="Arial"/>
        </w:rPr>
        <w:t xml:space="preserve"> </w:t>
      </w:r>
    </w:p>
    <w:p w14:paraId="5F761BA1" w14:textId="4D96D347" w:rsidR="006F6A81" w:rsidRDefault="006F6A81" w:rsidP="006F6A81">
      <w:pPr>
        <w:keepLines/>
        <w:rPr>
          <w:rFonts w:cs="Arial"/>
        </w:rPr>
      </w:pPr>
      <w:r>
        <w:rPr>
          <w:rFonts w:cs="Arial"/>
        </w:rPr>
        <w:t xml:space="preserve">Activity level costs </w:t>
      </w:r>
      <w:r w:rsidR="00337343">
        <w:rPr>
          <w:rFonts w:cs="Arial"/>
        </w:rPr>
        <w:t xml:space="preserve">are </w:t>
      </w:r>
      <w:r>
        <w:rPr>
          <w:rFonts w:cs="Arial"/>
        </w:rPr>
        <w:t>more detailed than what is submitted to the OBPR or released publically in FSANZ documentation. Calculating costs at such a detailed level assists in understanding how the nuanced differences between risk management options affects implementation. This more detailed analysis of costs can be made available to individual jurisdictions when requested.</w:t>
      </w:r>
    </w:p>
    <w:p w14:paraId="7167137B" w14:textId="23187308" w:rsidR="004A6D71" w:rsidRPr="00D34ECE" w:rsidRDefault="004A6D71" w:rsidP="004A6D71">
      <w:pPr>
        <w:pStyle w:val="Heading2"/>
      </w:pPr>
      <w:bookmarkStart w:id="32" w:name="_Toc482357194"/>
      <w:bookmarkStart w:id="33" w:name="_GoBack"/>
      <w:bookmarkEnd w:id="33"/>
      <w:r>
        <w:t>Agency costs</w:t>
      </w:r>
      <w:bookmarkEnd w:id="32"/>
    </w:p>
    <w:p w14:paraId="3F206F42" w14:textId="77777777" w:rsidR="002958F8" w:rsidRPr="002958F8" w:rsidRDefault="0065639E" w:rsidP="00605969">
      <w:pPr>
        <w:pStyle w:val="Heading3"/>
      </w:pPr>
      <w:bookmarkStart w:id="34" w:name="_Toc470000001"/>
      <w:bookmarkStart w:id="35" w:name="_Toc482357195"/>
      <w:r w:rsidRPr="002958F8">
        <w:rPr>
          <w:rStyle w:val="Heading3Char"/>
          <w:b/>
          <w:bCs/>
        </w:rPr>
        <w:t>Policy type activities</w:t>
      </w:r>
      <w:bookmarkEnd w:id="34"/>
      <w:bookmarkEnd w:id="35"/>
    </w:p>
    <w:p w14:paraId="5A590593" w14:textId="49D23E10" w:rsidR="005530F6" w:rsidRDefault="00B16FF7" w:rsidP="006F073D">
      <w:r w:rsidRPr="003A4938">
        <w:t xml:space="preserve">This group </w:t>
      </w:r>
      <w:r w:rsidRPr="005530F6">
        <w:t>captures the ‘background’ work necessary to administer</w:t>
      </w:r>
      <w:r w:rsidR="00277DE2">
        <w:t xml:space="preserve"> and change</w:t>
      </w:r>
      <w:r w:rsidRPr="005530F6">
        <w:t xml:space="preserve"> the food regulatory system. For those states with more than one food regulatory </w:t>
      </w:r>
      <w:r w:rsidR="00FF031F">
        <w:t>agency</w:t>
      </w:r>
      <w:r w:rsidRPr="005530F6">
        <w:t>, this type of work is generally undertaken by th</w:t>
      </w:r>
      <w:r w:rsidR="003907E0">
        <w:t>e ‘core’</w:t>
      </w:r>
      <w:r w:rsidR="001C69F5">
        <w:t xml:space="preserve"> or ‘central’</w:t>
      </w:r>
      <w:r w:rsidR="003907E0">
        <w:t xml:space="preserve"> food regulatory </w:t>
      </w:r>
      <w:r w:rsidR="00FF031F">
        <w:t>agency</w:t>
      </w:r>
      <w:r w:rsidR="00A24283">
        <w:t xml:space="preserve">, rather than the specialist </w:t>
      </w:r>
      <w:r w:rsidR="00FF031F">
        <w:t>agencies</w:t>
      </w:r>
      <w:r w:rsidR="003907E0">
        <w:t>.</w:t>
      </w:r>
    </w:p>
    <w:p w14:paraId="2437C700" w14:textId="232774A0" w:rsidR="006D68EE" w:rsidRPr="003A4938" w:rsidRDefault="00B16FF7" w:rsidP="00371852">
      <w:r w:rsidRPr="005530F6">
        <w:lastRenderedPageBreak/>
        <w:t>Activities in this group</w:t>
      </w:r>
      <w:r w:rsidR="0091091E" w:rsidRPr="005530F6">
        <w:t xml:space="preserve"> that are relevant to </w:t>
      </w:r>
      <w:r w:rsidR="00337343">
        <w:t xml:space="preserve">a </w:t>
      </w:r>
      <w:r w:rsidR="0091091E" w:rsidRPr="005530F6">
        <w:t>FSANZ CBA are those that w</w:t>
      </w:r>
      <w:r w:rsidR="00357CBE">
        <w:t>ould</w:t>
      </w:r>
      <w:r w:rsidR="0091091E" w:rsidRPr="005530F6">
        <w:t xml:space="preserve"> be </w:t>
      </w:r>
      <w:r w:rsidR="00E2265E">
        <w:t xml:space="preserve">undertaken if a decision </w:t>
      </w:r>
      <w:r w:rsidR="00D576F5">
        <w:t>were</w:t>
      </w:r>
      <w:r w:rsidR="00E2265E">
        <w:t xml:space="preserve"> made to proceed with a specific risk management option. All the previous policy work at the point of decision between maintaining the status quo or a specific intervention (regulatory or not) are sunk costs</w:t>
      </w:r>
      <w:r w:rsidR="0091091E" w:rsidRPr="005530F6">
        <w:t xml:space="preserve">. </w:t>
      </w:r>
      <w:r w:rsidR="00371852" w:rsidRPr="00371852">
        <w:t>This means that t</w:t>
      </w:r>
      <w:r w:rsidR="00C70EE6" w:rsidRPr="00371852">
        <w:t>he costs and benefits included in the CBA are those that are incurred as a result of adopting the risk management option</w:t>
      </w:r>
      <w:r w:rsidR="00337343">
        <w:t xml:space="preserve"> i.e </w:t>
      </w:r>
      <w:r w:rsidR="00C70EE6" w:rsidRPr="00371852">
        <w:t>additional</w:t>
      </w:r>
      <w:r w:rsidR="00455B91">
        <w:t xml:space="preserve"> or</w:t>
      </w:r>
      <w:r w:rsidR="00C70EE6" w:rsidRPr="00371852">
        <w:t xml:space="preserve"> incremental costs and benefits that would arise from the risk management option being incorporated into the existing food regulatory system</w:t>
      </w:r>
      <w:r w:rsidR="00371852" w:rsidRPr="00371852">
        <w:t>.</w:t>
      </w:r>
      <w:r w:rsidR="00371852">
        <w:t xml:space="preserve"> </w:t>
      </w:r>
      <w:r w:rsidR="006D68EE" w:rsidRPr="005530F6">
        <w:t>Th</w:t>
      </w:r>
      <w:r w:rsidR="00357CBE">
        <w:t>ese</w:t>
      </w:r>
      <w:r w:rsidR="006D68EE">
        <w:t xml:space="preserve"> include:</w:t>
      </w:r>
    </w:p>
    <w:p w14:paraId="0ADA0260" w14:textId="31667FBD" w:rsidR="006D68EE" w:rsidRPr="003A4938" w:rsidRDefault="0024687E" w:rsidP="006F073D">
      <w:pPr>
        <w:pStyle w:val="FSBullet1"/>
      </w:pPr>
      <w:r>
        <w:t>C</w:t>
      </w:r>
      <w:r w:rsidR="006D68EE" w:rsidRPr="003A4938">
        <w:t xml:space="preserve">oordination with FSANZ and other </w:t>
      </w:r>
      <w:r w:rsidR="00337343">
        <w:t>a</w:t>
      </w:r>
      <w:r w:rsidR="00224642">
        <w:t>gencies</w:t>
      </w:r>
      <w:r w:rsidR="006D68EE" w:rsidRPr="003A4938">
        <w:t xml:space="preserve"> across Australia and New Zealand</w:t>
      </w:r>
      <w:r w:rsidR="005848FA" w:rsidRPr="003A4938">
        <w:t xml:space="preserve"> on </w:t>
      </w:r>
      <w:r w:rsidR="00337343">
        <w:t xml:space="preserve">an </w:t>
      </w:r>
      <w:r w:rsidR="005848FA" w:rsidRPr="003A4938">
        <w:t>implementation strategy</w:t>
      </w:r>
      <w:r w:rsidR="00BC27B4" w:rsidRPr="003A4938">
        <w:t>.</w:t>
      </w:r>
      <w:r w:rsidR="005D499D" w:rsidRPr="003A4938">
        <w:t xml:space="preserve"> </w:t>
      </w:r>
      <w:r w:rsidR="001439CE" w:rsidRPr="003A4938">
        <w:t>Typical work for this activity involve</w:t>
      </w:r>
      <w:r w:rsidR="00357CBE">
        <w:t>s</w:t>
      </w:r>
      <w:r w:rsidR="001439CE" w:rsidRPr="003A4938">
        <w:t xml:space="preserve"> research, meetings, writing and reviewing papers and </w:t>
      </w:r>
      <w:r w:rsidR="00357CBE">
        <w:t xml:space="preserve">can be </w:t>
      </w:r>
      <w:r w:rsidR="001439CE" w:rsidRPr="003A4938">
        <w:t xml:space="preserve">quantified </w:t>
      </w:r>
      <w:r w:rsidR="00625EB6">
        <w:t xml:space="preserve">in Full-Time Equivalent (FTE) hours where the FTE cost is the </w:t>
      </w:r>
      <w:r w:rsidR="004F1997">
        <w:t>average staff full</w:t>
      </w:r>
      <w:r w:rsidR="00625EB6">
        <w:noBreakHyphen/>
      </w:r>
      <w:r w:rsidR="00586863">
        <w:t>time annual salary plus 7</w:t>
      </w:r>
      <w:r w:rsidR="004F1997">
        <w:t>5% ‘on-costs’</w:t>
      </w:r>
      <w:r w:rsidR="00625EB6">
        <w:t xml:space="preserve"> to account for leave loadings and superannuation</w:t>
      </w:r>
      <w:r w:rsidR="00762304" w:rsidRPr="003A4938">
        <w:t>.</w:t>
      </w:r>
    </w:p>
    <w:p w14:paraId="6899D944" w14:textId="495536D6" w:rsidR="00C948E9" w:rsidRPr="003A4938" w:rsidRDefault="006D68EE" w:rsidP="006F073D">
      <w:pPr>
        <w:pStyle w:val="FSBullet1"/>
      </w:pPr>
      <w:r w:rsidRPr="00896480">
        <w:t>Develop</w:t>
      </w:r>
      <w:r w:rsidR="00E02835" w:rsidRPr="00896480">
        <w:t>ment of</w:t>
      </w:r>
      <w:r w:rsidRPr="00896480">
        <w:t xml:space="preserve"> policies on the administration strategy for the affected food</w:t>
      </w:r>
      <w:r w:rsidR="00762304">
        <w:t xml:space="preserve"> products</w:t>
      </w:r>
      <w:r>
        <w:t xml:space="preserve"> or business</w:t>
      </w:r>
      <w:r w:rsidR="00762304">
        <w:t>.</w:t>
      </w:r>
      <w:r w:rsidR="005848FA">
        <w:t xml:space="preserve"> </w:t>
      </w:r>
      <w:r w:rsidR="003C67A9">
        <w:t>This includes</w:t>
      </w:r>
      <w:r w:rsidR="005848FA">
        <w:t xml:space="preserve"> </w:t>
      </w:r>
      <w:r w:rsidR="003C67A9">
        <w:t xml:space="preserve">policies </w:t>
      </w:r>
      <w:r w:rsidR="00337343">
        <w:t>on</w:t>
      </w:r>
      <w:r w:rsidR="003C67A9">
        <w:t xml:space="preserve"> </w:t>
      </w:r>
      <w:r w:rsidR="00762304">
        <w:t xml:space="preserve">proposed </w:t>
      </w:r>
      <w:r w:rsidR="005848FA">
        <w:t>enforcement and incident response</w:t>
      </w:r>
      <w:r w:rsidR="00762304">
        <w:t>s</w:t>
      </w:r>
      <w:r w:rsidR="005848FA">
        <w:t xml:space="preserve">, </w:t>
      </w:r>
      <w:r w:rsidR="003C67A9">
        <w:t xml:space="preserve">determining </w:t>
      </w:r>
      <w:r>
        <w:t xml:space="preserve">how </w:t>
      </w:r>
      <w:r w:rsidR="00762304">
        <w:t>the change sits</w:t>
      </w:r>
      <w:r w:rsidR="00337343">
        <w:t xml:space="preserve"> </w:t>
      </w:r>
      <w:r w:rsidR="00762304">
        <w:t>in</w:t>
      </w:r>
      <w:r>
        <w:t xml:space="preserve"> the existing risk hierarchy underpinning the administration approach in the jurisdiction</w:t>
      </w:r>
      <w:r w:rsidR="00762304">
        <w:t>,</w:t>
      </w:r>
      <w:r w:rsidR="005848FA">
        <w:t xml:space="preserve"> </w:t>
      </w:r>
      <w:r w:rsidR="003C67A9">
        <w:t xml:space="preserve">and </w:t>
      </w:r>
      <w:r w:rsidR="00762304">
        <w:t xml:space="preserve">the </w:t>
      </w:r>
      <w:r w:rsidR="005848FA">
        <w:t xml:space="preserve">roles and responsibilities for the jurisdictions’ </w:t>
      </w:r>
      <w:r w:rsidR="00FF031F">
        <w:t>agencies</w:t>
      </w:r>
      <w:r w:rsidR="003C67A9">
        <w:t>.</w:t>
      </w:r>
      <w:r w:rsidR="00C948E9" w:rsidRPr="00762304">
        <w:t xml:space="preserve"> </w:t>
      </w:r>
      <w:r w:rsidR="00C948E9" w:rsidRPr="00FC48CC">
        <w:t>Typical work for this activity involve</w:t>
      </w:r>
      <w:r w:rsidR="00E02835">
        <w:t>s</w:t>
      </w:r>
      <w:r w:rsidR="00C948E9" w:rsidRPr="00FC48CC">
        <w:t xml:space="preserve"> meetings between</w:t>
      </w:r>
      <w:r w:rsidR="00FC48CC" w:rsidRPr="00FC48CC">
        <w:t xml:space="preserve"> and within the jurisdictions’</w:t>
      </w:r>
      <w:r w:rsidR="00C948E9" w:rsidRPr="00FC48CC">
        <w:t xml:space="preserve"> </w:t>
      </w:r>
      <w:r w:rsidR="00FF031F">
        <w:t>agencies</w:t>
      </w:r>
      <w:r w:rsidR="00100EFE">
        <w:t xml:space="preserve"> as well as </w:t>
      </w:r>
      <w:r w:rsidR="00FC48CC" w:rsidRPr="00FC48CC">
        <w:t xml:space="preserve">research, industry consultation, </w:t>
      </w:r>
      <w:r w:rsidR="00C948E9" w:rsidRPr="00FC48CC">
        <w:t xml:space="preserve">and writing and reviewing papers to determine the jurisdictions’ position on the </w:t>
      </w:r>
      <w:r w:rsidR="00FC48CC" w:rsidRPr="00FC48CC">
        <w:t xml:space="preserve">proposed administration of the change to the Code. </w:t>
      </w:r>
      <w:r w:rsidR="00FC48CC">
        <w:t xml:space="preserve">This </w:t>
      </w:r>
      <w:r w:rsidR="00100EFE">
        <w:t xml:space="preserve">activity </w:t>
      </w:r>
      <w:r w:rsidR="00FC48CC">
        <w:t xml:space="preserve">would be </w:t>
      </w:r>
      <w:r w:rsidR="00FC48CC" w:rsidRPr="003A4938">
        <w:t>quantified in FTEs.</w:t>
      </w:r>
    </w:p>
    <w:p w14:paraId="7130EEFA" w14:textId="652583CF" w:rsidR="006B7CDB" w:rsidRPr="003A4938" w:rsidRDefault="006B7CDB" w:rsidP="006F073D">
      <w:pPr>
        <w:pStyle w:val="FSBullet1"/>
      </w:pPr>
      <w:r w:rsidRPr="003A4938">
        <w:t>Establish</w:t>
      </w:r>
      <w:r w:rsidR="00E02835">
        <w:t>ment of</w:t>
      </w:r>
      <w:r w:rsidRPr="003A4938">
        <w:t xml:space="preserve"> food safety schemes for higher-risk foods and businesses and necessary supporting templates and guidance</w:t>
      </w:r>
      <w:r w:rsidR="005919B0" w:rsidRPr="003A4938">
        <w:t xml:space="preserve">. </w:t>
      </w:r>
      <w:r w:rsidR="00B01A01" w:rsidRPr="003A4938">
        <w:t xml:space="preserve">Some </w:t>
      </w:r>
      <w:r w:rsidR="00FF031F">
        <w:t>agencies</w:t>
      </w:r>
      <w:r w:rsidR="00B01A01" w:rsidRPr="003A4938">
        <w:t xml:space="preserve"> have developed generic programs for certain industries or businesses</w:t>
      </w:r>
      <w:r w:rsidR="00135C4E">
        <w:t>,</w:t>
      </w:r>
      <w:r w:rsidR="00B01A01" w:rsidRPr="003A4938">
        <w:t xml:space="preserve"> although businesses can still develop unique programs. If the Code change requires a change to food safety programs</w:t>
      </w:r>
      <w:r w:rsidR="00100EFE">
        <w:t>,</w:t>
      </w:r>
      <w:r w:rsidR="00B01A01" w:rsidRPr="003A4938">
        <w:t xml:space="preserve"> significant work would be required in communicating the new requirements, making changes to the generic programs and accrediting all programs. </w:t>
      </w:r>
      <w:r w:rsidR="00B01A01">
        <w:t xml:space="preserve">This would be </w:t>
      </w:r>
      <w:r w:rsidR="00B01A01" w:rsidRPr="003A4938">
        <w:t>quantified in FTEs.</w:t>
      </w:r>
    </w:p>
    <w:p w14:paraId="7D4CCE86" w14:textId="6B3E94C2" w:rsidR="006B7CDB" w:rsidRDefault="006B7CDB" w:rsidP="006F073D">
      <w:pPr>
        <w:pStyle w:val="FSBullet1"/>
      </w:pPr>
      <w:r w:rsidRPr="003A4938">
        <w:t xml:space="preserve">Developing education materials and/or guidelines for </w:t>
      </w:r>
      <w:r w:rsidR="00337343">
        <w:t>a</w:t>
      </w:r>
      <w:r w:rsidRPr="003A4938">
        <w:t>gency staff, consumers and businesses</w:t>
      </w:r>
      <w:r w:rsidR="008617FE">
        <w:t xml:space="preserve">. </w:t>
      </w:r>
      <w:r w:rsidR="00A838F8">
        <w:t xml:space="preserve">These supporting materials communicate how businesses can comply with the Code or how inspectors can ensure businesses are compliant with the </w:t>
      </w:r>
      <w:r w:rsidR="006042D2">
        <w:t>C</w:t>
      </w:r>
      <w:r w:rsidR="00A838F8">
        <w:t xml:space="preserve">ode. </w:t>
      </w:r>
      <w:r w:rsidR="008617FE">
        <w:t xml:space="preserve">This would be </w:t>
      </w:r>
      <w:r w:rsidR="008617FE" w:rsidRPr="003A4938">
        <w:t>quantified in FTEs.</w:t>
      </w:r>
    </w:p>
    <w:p w14:paraId="069BE57E" w14:textId="5ADDBA48" w:rsidR="00CF67E3" w:rsidRDefault="00CF67E3" w:rsidP="006F073D">
      <w:pPr>
        <w:pStyle w:val="FSBullet1"/>
      </w:pPr>
      <w:r w:rsidRPr="00FD2A86">
        <w:t xml:space="preserve">Training </w:t>
      </w:r>
      <w:r w:rsidR="00337343">
        <w:t>a</w:t>
      </w:r>
      <w:r w:rsidR="00FD2A86" w:rsidRPr="00FD2A86">
        <w:t xml:space="preserve">gency </w:t>
      </w:r>
      <w:r w:rsidRPr="00FD2A86">
        <w:t>staff</w:t>
      </w:r>
      <w:r w:rsidR="00FD2A86" w:rsidRPr="00FD2A86">
        <w:t>, auditors and inspectors. Staff need to be kept informed of new requi</w:t>
      </w:r>
      <w:r w:rsidR="00FD2A86">
        <w:t>rements on businesses,</w:t>
      </w:r>
      <w:r w:rsidR="00FD2A86" w:rsidRPr="00FD2A86">
        <w:t xml:space="preserve"> what </w:t>
      </w:r>
      <w:r w:rsidR="00FD2A86">
        <w:t xml:space="preserve">it means for the business to be </w:t>
      </w:r>
      <w:r w:rsidR="00FD2A86" w:rsidRPr="00FD2A86">
        <w:t>complian</w:t>
      </w:r>
      <w:r w:rsidR="00FD2A86">
        <w:t>t</w:t>
      </w:r>
      <w:r w:rsidR="00FD2A86" w:rsidRPr="00FD2A86">
        <w:t xml:space="preserve"> (or non</w:t>
      </w:r>
      <w:r w:rsidR="00424456">
        <w:t>compliant</w:t>
      </w:r>
      <w:r w:rsidR="00FD2A86" w:rsidRPr="00FD2A86">
        <w:t xml:space="preserve">) </w:t>
      </w:r>
      <w:r w:rsidR="00FD2A86">
        <w:t>and how to verify compliance</w:t>
      </w:r>
      <w:r w:rsidR="00FD2A86" w:rsidRPr="00FD2A86">
        <w:t>.</w:t>
      </w:r>
      <w:r w:rsidR="00CA081E">
        <w:t xml:space="preserve"> Typical work for this activity may involve training sessions, presentations, newsletters</w:t>
      </w:r>
      <w:r w:rsidR="00455B91">
        <w:t xml:space="preserve"> and</w:t>
      </w:r>
      <w:r w:rsidR="00CA081E">
        <w:t xml:space="preserve"> industry site visits. This would be quantified in FTEs.</w:t>
      </w:r>
    </w:p>
    <w:p w14:paraId="25BFBB29" w14:textId="77777777" w:rsidR="000D0F97" w:rsidRPr="000D0F97" w:rsidRDefault="000D0F97" w:rsidP="000D0F97">
      <w:pPr>
        <w:pStyle w:val="FSBullet1"/>
      </w:pPr>
      <w:r>
        <w:t>Legal requirements. Some jurisdictions will need to legislate changes or undertake a gazettal process in order to legalise any changes to their food safety system.</w:t>
      </w:r>
      <w:r w:rsidR="00927B4A">
        <w:t xml:space="preserve"> This would be quantified in FTEs.</w:t>
      </w:r>
    </w:p>
    <w:p w14:paraId="477BEA10" w14:textId="23A9A027" w:rsidR="005530F6" w:rsidRDefault="005530F6" w:rsidP="005530F6">
      <w:r w:rsidRPr="005530F6">
        <w:t xml:space="preserve">There is </w:t>
      </w:r>
      <w:r w:rsidR="00E02835">
        <w:t xml:space="preserve">of course </w:t>
      </w:r>
      <w:r w:rsidRPr="005530F6">
        <w:t xml:space="preserve">considerable other work undertaken in the </w:t>
      </w:r>
      <w:r w:rsidR="00337343">
        <w:t>a</w:t>
      </w:r>
      <w:r w:rsidR="00224642">
        <w:t>gencies</w:t>
      </w:r>
      <w:r w:rsidRPr="005530F6">
        <w:t>’ contribution to the development of risk management options and particularly the finalisation of proposed changes to the Code. This work can extend over many years and involve</w:t>
      </w:r>
      <w:r w:rsidR="00E02835">
        <w:t xml:space="preserve"> </w:t>
      </w:r>
      <w:r w:rsidRPr="005530F6">
        <w:t xml:space="preserve">significant resource cost in attending bi-national meetings, researching possible alternatives and impacts, </w:t>
      </w:r>
      <w:r w:rsidR="00425D9B">
        <w:t xml:space="preserve">and </w:t>
      </w:r>
      <w:r w:rsidRPr="005530F6">
        <w:t xml:space="preserve">liaising with other states, intra-state </w:t>
      </w:r>
      <w:r w:rsidR="00337343">
        <w:t>a</w:t>
      </w:r>
      <w:r w:rsidR="00224642">
        <w:t>gencies</w:t>
      </w:r>
      <w:r w:rsidRPr="005530F6">
        <w:t xml:space="preserve"> and industry. </w:t>
      </w:r>
      <w:r w:rsidR="00710AF3">
        <w:t>As mention</w:t>
      </w:r>
      <w:r w:rsidR="005C26F4">
        <w:t>ed</w:t>
      </w:r>
      <w:r w:rsidR="00710AF3">
        <w:t xml:space="preserve"> above, t</w:t>
      </w:r>
      <w:r w:rsidRPr="005530F6">
        <w:t xml:space="preserve">hese costs are incurred as part of the process to decide if a change should be made to the Code, and what that change should be. As such, these costs </w:t>
      </w:r>
      <w:r w:rsidR="00113375">
        <w:t xml:space="preserve">have already been incurred </w:t>
      </w:r>
      <w:r w:rsidRPr="005530F6">
        <w:t xml:space="preserve">at the time of </w:t>
      </w:r>
      <w:r w:rsidR="00D576F5">
        <w:t xml:space="preserve">deciding to proceed with the </w:t>
      </w:r>
      <w:r w:rsidRPr="005530F6">
        <w:t>implementation</w:t>
      </w:r>
      <w:r w:rsidR="00D576F5">
        <w:t xml:space="preserve"> of a specific </w:t>
      </w:r>
      <w:r w:rsidRPr="005530F6">
        <w:t>and are excluded</w:t>
      </w:r>
      <w:r w:rsidR="00710AF3">
        <w:t>.</w:t>
      </w:r>
    </w:p>
    <w:p w14:paraId="77CF3D4D" w14:textId="77777777" w:rsidR="002958F8" w:rsidRPr="002958F8" w:rsidRDefault="0065639E" w:rsidP="00605969">
      <w:pPr>
        <w:pStyle w:val="Heading3"/>
      </w:pPr>
      <w:bookmarkStart w:id="36" w:name="_Toc470000002"/>
      <w:bookmarkStart w:id="37" w:name="_Toc482357196"/>
      <w:r w:rsidRPr="002958F8">
        <w:rPr>
          <w:rStyle w:val="Heading3Char"/>
          <w:b/>
        </w:rPr>
        <w:lastRenderedPageBreak/>
        <w:t xml:space="preserve">Compliance </w:t>
      </w:r>
      <w:r w:rsidR="00E00C1C" w:rsidRPr="002958F8">
        <w:rPr>
          <w:rStyle w:val="Heading3Char"/>
          <w:b/>
        </w:rPr>
        <w:t>type activities</w:t>
      </w:r>
      <w:bookmarkEnd w:id="36"/>
      <w:bookmarkEnd w:id="37"/>
    </w:p>
    <w:p w14:paraId="646FBCD7" w14:textId="4F426E8D" w:rsidR="00AA04FE" w:rsidRPr="00FD2A86" w:rsidRDefault="009F4F0F" w:rsidP="00AA2296">
      <w:pPr>
        <w:keepNext/>
        <w:keepLines/>
      </w:pPr>
      <w:r w:rsidRPr="00FD2A86">
        <w:t xml:space="preserve">This group of activities captures the work </w:t>
      </w:r>
      <w:r w:rsidR="00FF031F">
        <w:t>agencies</w:t>
      </w:r>
      <w:r w:rsidRPr="00FD2A86">
        <w:t xml:space="preserve"> undertake to verify that businesses comply with the jurisdiction’s food regulatory system.</w:t>
      </w:r>
      <w:r w:rsidR="00943F6B" w:rsidRPr="00FD2A86">
        <w:t xml:space="preserve"> </w:t>
      </w:r>
      <w:r w:rsidR="00AA04FE" w:rsidRPr="00FD2A86">
        <w:t xml:space="preserve">This </w:t>
      </w:r>
      <w:r w:rsidR="00311D30">
        <w:t xml:space="preserve">can be </w:t>
      </w:r>
      <w:r w:rsidR="00AA04FE" w:rsidRPr="00FD2A86">
        <w:t>done</w:t>
      </w:r>
      <w:r w:rsidR="00311D30">
        <w:t xml:space="preserve"> by </w:t>
      </w:r>
      <w:r w:rsidR="00AA04FE" w:rsidRPr="00FD2A86">
        <w:t>audit</w:t>
      </w:r>
      <w:r w:rsidR="00100EFE">
        <w:t xml:space="preserve"> of </w:t>
      </w:r>
      <w:r w:rsidR="00AA04FE" w:rsidRPr="00FD2A86">
        <w:t>food safety program</w:t>
      </w:r>
      <w:r w:rsidR="00311D30">
        <w:t>s</w:t>
      </w:r>
      <w:r w:rsidR="00AA04FE" w:rsidRPr="00FD2A86">
        <w:t>, inspection</w:t>
      </w:r>
      <w:r w:rsidR="00311D30">
        <w:t>s</w:t>
      </w:r>
      <w:r w:rsidR="00710AF3">
        <w:t xml:space="preserve"> or visit</w:t>
      </w:r>
      <w:r w:rsidR="00425D9B">
        <w:t>s</w:t>
      </w:r>
      <w:r w:rsidR="00AA04FE" w:rsidRPr="00FD2A86">
        <w:t>. Activities in this group that are relevant to FSANZ CBA are those that will be undertaken to rollout or physically implement a Code change into the jurisdictions’ food regulatory system, and include</w:t>
      </w:r>
      <w:r w:rsidR="008138B2">
        <w:t xml:space="preserve"> the following</w:t>
      </w:r>
      <w:r w:rsidR="00100EFE">
        <w:t>:</w:t>
      </w:r>
    </w:p>
    <w:p w14:paraId="2DAC6657" w14:textId="4297E4B3" w:rsidR="00B50513" w:rsidRPr="002B1FB4" w:rsidRDefault="002F7A1B" w:rsidP="00AA2296">
      <w:pPr>
        <w:pStyle w:val="FSBullet1"/>
        <w:keepNext/>
        <w:keepLines/>
      </w:pPr>
      <w:r>
        <w:t>E</w:t>
      </w:r>
      <w:r w:rsidR="00AA04FE" w:rsidRPr="002B1FB4">
        <w:t>ducating businesses</w:t>
      </w:r>
      <w:r w:rsidR="00311D30">
        <w:t xml:space="preserve"> </w:t>
      </w:r>
      <w:r w:rsidR="00337343">
        <w:t>about</w:t>
      </w:r>
      <w:r w:rsidR="00AA04FE" w:rsidRPr="002B1FB4">
        <w:t xml:space="preserve"> their new food safety </w:t>
      </w:r>
      <w:r w:rsidR="00311D30">
        <w:t>obligations</w:t>
      </w:r>
      <w:r w:rsidR="002B1FB4">
        <w:t xml:space="preserve"> and verifying their compliance</w:t>
      </w:r>
      <w:r w:rsidR="00F65387">
        <w:t xml:space="preserve"> with the new regulation</w:t>
      </w:r>
      <w:r w:rsidR="002B1FB4">
        <w:t>.</w:t>
      </w:r>
      <w:r w:rsidR="00AA04FE" w:rsidRPr="002B1FB4">
        <w:t xml:space="preserve"> </w:t>
      </w:r>
      <w:r w:rsidR="002B1FB4">
        <w:t xml:space="preserve">Education may occur </w:t>
      </w:r>
      <w:r w:rsidR="00AA04FE" w:rsidRPr="002B1FB4">
        <w:t xml:space="preserve">through newsletters, dissemination of reference material and </w:t>
      </w:r>
      <w:r w:rsidR="00605BF7" w:rsidRPr="002B1FB4">
        <w:t>discussions during audits</w:t>
      </w:r>
      <w:r w:rsidR="00037CEA">
        <w:t>,</w:t>
      </w:r>
      <w:r w:rsidR="00605BF7" w:rsidRPr="002B1FB4">
        <w:t xml:space="preserve"> inspections</w:t>
      </w:r>
      <w:r w:rsidR="00037CEA">
        <w:t xml:space="preserve"> or visits</w:t>
      </w:r>
      <w:r w:rsidR="00605BF7" w:rsidRPr="002B1FB4">
        <w:t>.</w:t>
      </w:r>
      <w:r w:rsidR="00C96CDA" w:rsidRPr="002B1FB4">
        <w:t xml:space="preserve"> </w:t>
      </w:r>
      <w:r w:rsidR="002B1FB4">
        <w:t xml:space="preserve">Verification occurs during audits and inspections. </w:t>
      </w:r>
      <w:r w:rsidR="00C96CDA" w:rsidRPr="002B1FB4">
        <w:t>Audits</w:t>
      </w:r>
      <w:r w:rsidR="00037CEA">
        <w:t>,</w:t>
      </w:r>
      <w:r w:rsidR="00C96CDA" w:rsidRPr="002B1FB4">
        <w:t xml:space="preserve"> inspections</w:t>
      </w:r>
      <w:r w:rsidR="00037CEA">
        <w:t xml:space="preserve"> and visits</w:t>
      </w:r>
      <w:r w:rsidR="00C96CDA" w:rsidRPr="002B1FB4">
        <w:t xml:space="preserve"> are the primary means of communicating with and training businesses, </w:t>
      </w:r>
      <w:r w:rsidR="008138B2">
        <w:t xml:space="preserve">and </w:t>
      </w:r>
      <w:r w:rsidR="00C96CDA" w:rsidRPr="002B1FB4">
        <w:t>as such</w:t>
      </w:r>
      <w:r w:rsidR="00425D9B">
        <w:t>,</w:t>
      </w:r>
      <w:r w:rsidR="00C96CDA" w:rsidRPr="002B1FB4">
        <w:t xml:space="preserve"> </w:t>
      </w:r>
      <w:r w:rsidR="00DE5E75" w:rsidRPr="002B1FB4">
        <w:t>this activity will be measured</w:t>
      </w:r>
      <w:r w:rsidR="00C96CDA" w:rsidRPr="002B1FB4">
        <w:t xml:space="preserve"> in terms of</w:t>
      </w:r>
      <w:r w:rsidR="002056D9">
        <w:t xml:space="preserve"> the</w:t>
      </w:r>
      <w:r w:rsidR="00C96CDA" w:rsidRPr="002B1FB4">
        <w:t xml:space="preserve"> average increase in audit</w:t>
      </w:r>
      <w:r w:rsidR="00037CEA">
        <w:t>,</w:t>
      </w:r>
      <w:r w:rsidR="00937C0F">
        <w:t xml:space="preserve"> </w:t>
      </w:r>
      <w:r w:rsidR="00C96CDA" w:rsidRPr="002B1FB4">
        <w:t>inspection</w:t>
      </w:r>
      <w:r w:rsidR="00037CEA">
        <w:t xml:space="preserve"> and visit</w:t>
      </w:r>
      <w:r w:rsidR="00C96CDA" w:rsidRPr="002B1FB4">
        <w:t xml:space="preserve"> times </w:t>
      </w:r>
      <w:r w:rsidR="0035787E">
        <w:t xml:space="preserve">(i.e. average increase of staff time) </w:t>
      </w:r>
      <w:r w:rsidR="00C96CDA" w:rsidRPr="002B1FB4">
        <w:t xml:space="preserve">and </w:t>
      </w:r>
      <w:r w:rsidR="00DE5E75" w:rsidRPr="002B1FB4">
        <w:t>quantified</w:t>
      </w:r>
      <w:r w:rsidR="00C96CDA" w:rsidRPr="002B1FB4">
        <w:t xml:space="preserve"> in </w:t>
      </w:r>
      <w:r w:rsidR="00425D9B">
        <w:t>FTEs</w:t>
      </w:r>
      <w:r w:rsidR="00643BC1">
        <w:t>.</w:t>
      </w:r>
    </w:p>
    <w:p w14:paraId="49DED01A" w14:textId="77777777" w:rsidR="0031544B" w:rsidRDefault="002B1FB4" w:rsidP="00AA2296">
      <w:pPr>
        <w:pStyle w:val="FSBullet1"/>
        <w:keepNext/>
        <w:keepLines/>
      </w:pPr>
      <w:r w:rsidRPr="00E477C5">
        <w:t>Accrediting, certifying and licensing businesses.</w:t>
      </w:r>
      <w:r w:rsidR="00E477C5" w:rsidRPr="00E477C5">
        <w:t xml:space="preserve"> If the businesses are newly captured in the food regulatory system, or the businesses</w:t>
      </w:r>
      <w:r w:rsidR="00425D9B">
        <w:t xml:space="preserve"> are</w:t>
      </w:r>
      <w:r w:rsidR="00E477C5" w:rsidRPr="00E477C5">
        <w:t xml:space="preserve"> require</w:t>
      </w:r>
      <w:r w:rsidR="00425D9B">
        <w:t>d</w:t>
      </w:r>
      <w:r w:rsidR="00E477C5" w:rsidRPr="00E477C5">
        <w:t xml:space="preserve"> to be re-accredited or re-licensed as part of the process for ensuring compliance with new regulation then this activity would be captured. </w:t>
      </w:r>
      <w:r w:rsidR="00643BC1">
        <w:t>This would be quantified in FTE</w:t>
      </w:r>
      <w:r w:rsidR="00425D9B">
        <w:t>s</w:t>
      </w:r>
      <w:r w:rsidR="00E477C5" w:rsidRPr="00E477C5">
        <w:t>.</w:t>
      </w:r>
    </w:p>
    <w:p w14:paraId="03E24DA4" w14:textId="77777777" w:rsidR="00F65DD7" w:rsidRDefault="00B32136" w:rsidP="006F073D">
      <w:r>
        <w:t xml:space="preserve">Additionally, if the businesses were not </w:t>
      </w:r>
      <w:r w:rsidR="00425D9B">
        <w:t>specifically</w:t>
      </w:r>
      <w:r>
        <w:t xml:space="preserve"> captured in the jurisdiction’s food regulatory system</w:t>
      </w:r>
      <w:r w:rsidR="00311D30">
        <w:t>, other than the general food safety obligations,</w:t>
      </w:r>
      <w:r>
        <w:t xml:space="preserve"> then the on</w:t>
      </w:r>
      <w:r w:rsidR="00EC740F">
        <w:t>going</w:t>
      </w:r>
      <w:r>
        <w:t xml:space="preserve"> associated operations or administration of the regulation would be captured in FSANZ CBA. </w:t>
      </w:r>
      <w:r w:rsidR="00017269">
        <w:t>The most significant component</w:t>
      </w:r>
      <w:r w:rsidR="00425D9B">
        <w:t>s</w:t>
      </w:r>
      <w:r w:rsidR="00017269">
        <w:t xml:space="preserve"> of o</w:t>
      </w:r>
      <w:r w:rsidR="00C86CCE">
        <w:t xml:space="preserve">ngoing compliance </w:t>
      </w:r>
      <w:r w:rsidR="00017269">
        <w:t xml:space="preserve">that </w:t>
      </w:r>
      <w:r w:rsidR="008138B2">
        <w:t>are</w:t>
      </w:r>
      <w:r w:rsidR="00017269">
        <w:t xml:space="preserve"> incremental to current activities</w:t>
      </w:r>
      <w:r w:rsidR="008138B2">
        <w:t xml:space="preserve"> </w:t>
      </w:r>
      <w:r w:rsidR="00F65DD7">
        <w:t>include:</w:t>
      </w:r>
    </w:p>
    <w:p w14:paraId="1BC9380A" w14:textId="77777777" w:rsidR="00B32136" w:rsidRDefault="00F65DD7" w:rsidP="006F073D">
      <w:pPr>
        <w:pStyle w:val="FSBullet1"/>
      </w:pPr>
      <w:r>
        <w:t>Audits and i</w:t>
      </w:r>
      <w:r w:rsidR="00017269">
        <w:t>nspections. These would be measured in average time for audit or inspections and quantified in FTEs.</w:t>
      </w:r>
    </w:p>
    <w:p w14:paraId="11779899" w14:textId="77777777" w:rsidR="00B8068C" w:rsidRDefault="00B8068C" w:rsidP="006F073D">
      <w:pPr>
        <w:pStyle w:val="FSBullet1"/>
      </w:pPr>
      <w:r>
        <w:t>Ma</w:t>
      </w:r>
      <w:r w:rsidR="00361212">
        <w:t>nagement of food safety scheme</w:t>
      </w:r>
      <w:r>
        <w:t xml:space="preserve">. </w:t>
      </w:r>
      <w:r w:rsidR="00F65DD7">
        <w:t>If the industry were included in the food safety scheme</w:t>
      </w:r>
      <w:r w:rsidR="00361212">
        <w:t xml:space="preserve"> and hence required a food safety program</w:t>
      </w:r>
      <w:r w:rsidR="00F65DD7">
        <w:t>, then the average annual management cost of this would be included.</w:t>
      </w:r>
    </w:p>
    <w:p w14:paraId="3425EB91" w14:textId="77777777" w:rsidR="00F65DD7" w:rsidRDefault="00B8068C" w:rsidP="006F073D">
      <w:pPr>
        <w:pStyle w:val="FSBullet1"/>
      </w:pPr>
      <w:r>
        <w:t>On</w:t>
      </w:r>
      <w:r w:rsidR="00EC740F">
        <w:t>going</w:t>
      </w:r>
      <w:r>
        <w:t xml:space="preserve"> licensing or accreditation. The average annual management of the licensing and accreditation of businesses would be included.</w:t>
      </w:r>
    </w:p>
    <w:p w14:paraId="2DCAE62E" w14:textId="77777777" w:rsidR="002958F8" w:rsidRPr="002958F8" w:rsidRDefault="00D54EBB" w:rsidP="00605969">
      <w:pPr>
        <w:pStyle w:val="Heading3"/>
      </w:pPr>
      <w:bookmarkStart w:id="38" w:name="_Toc470000003"/>
      <w:bookmarkStart w:id="39" w:name="_Toc482357197"/>
      <w:r w:rsidRPr="002958F8">
        <w:rPr>
          <w:rStyle w:val="Heading3Char"/>
          <w:b/>
        </w:rPr>
        <w:t>Enforcement type activities</w:t>
      </w:r>
      <w:bookmarkEnd w:id="38"/>
      <w:bookmarkEnd w:id="39"/>
    </w:p>
    <w:p w14:paraId="5BED37A5" w14:textId="5804C141" w:rsidR="002958F8" w:rsidRDefault="00A727E2" w:rsidP="006F073D">
      <w:r>
        <w:t xml:space="preserve">These will not be captured in </w:t>
      </w:r>
      <w:r w:rsidR="00B35779">
        <w:t xml:space="preserve">the </w:t>
      </w:r>
      <w:r>
        <w:t>FSANZ CBA as the RIS process</w:t>
      </w:r>
      <w:r w:rsidR="00D06B29">
        <w:t xml:space="preserve"> typically</w:t>
      </w:r>
      <w:r>
        <w:t xml:space="preserve"> assumes </w:t>
      </w:r>
      <w:r w:rsidR="00B35779">
        <w:t xml:space="preserve">that </w:t>
      </w:r>
      <w:r>
        <w:t>businesses comply with new regulation</w:t>
      </w:r>
      <w:r w:rsidR="00D06B29">
        <w:t xml:space="preserve"> unless clear guidance can be giv</w:t>
      </w:r>
      <w:r w:rsidR="00971891">
        <w:t>en about expected non</w:t>
      </w:r>
      <w:r w:rsidR="00971891">
        <w:noBreakHyphen/>
        <w:t>compliance</w:t>
      </w:r>
      <w:r w:rsidR="00D06B29">
        <w:t xml:space="preserve"> rates </w:t>
      </w:r>
      <w:r w:rsidR="00425D9B">
        <w:t xml:space="preserve">and </w:t>
      </w:r>
      <w:r w:rsidR="00B35779">
        <w:t xml:space="preserve">consequent </w:t>
      </w:r>
      <w:r w:rsidR="00D06B29">
        <w:t>expected costs and benefits</w:t>
      </w:r>
      <w:r>
        <w:t xml:space="preserve">. </w:t>
      </w:r>
      <w:r w:rsidR="00872CBF">
        <w:t xml:space="preserve">The </w:t>
      </w:r>
      <w:r w:rsidR="00FF031F">
        <w:t>agencies</w:t>
      </w:r>
      <w:r w:rsidR="00872CBF">
        <w:t xml:space="preserve"> </w:t>
      </w:r>
      <w:r w:rsidR="00311D30">
        <w:t xml:space="preserve">typically </w:t>
      </w:r>
      <w:r w:rsidR="00872CBF">
        <w:t>undertake graduated and proportionate response</w:t>
      </w:r>
      <w:r w:rsidR="00B35779">
        <w:t>s</w:t>
      </w:r>
      <w:r w:rsidR="00872CBF">
        <w:t xml:space="preserve"> to breaches of the Code. </w:t>
      </w:r>
      <w:r w:rsidR="00872CBF" w:rsidRPr="00872CBF">
        <w:t xml:space="preserve">Examples of </w:t>
      </w:r>
      <w:r w:rsidR="00D576F5">
        <w:t>initial</w:t>
      </w:r>
      <w:r w:rsidR="00872CBF" w:rsidRPr="00872CBF">
        <w:t xml:space="preserve"> enforcement tools that may be employed include improvement notices or warning letters. Examples of </w:t>
      </w:r>
      <w:r w:rsidR="001D03EF">
        <w:t>subsequent</w:t>
      </w:r>
      <w:r w:rsidR="00872CBF" w:rsidRPr="00872CBF">
        <w:t xml:space="preserve"> tools</w:t>
      </w:r>
      <w:r w:rsidR="001D03EF">
        <w:t xml:space="preserve"> (or those used in response to a significant incident)</w:t>
      </w:r>
      <w:r w:rsidR="00872CBF" w:rsidRPr="00872CBF">
        <w:t xml:space="preserve"> include prohibition orders, penalty notices, licence suspension/cancellation or prosecution.</w:t>
      </w:r>
      <w:r w:rsidR="000009CB">
        <w:t xml:space="preserve"> There is not necessarily a predictable relationship between Code changes and change in</w:t>
      </w:r>
      <w:r w:rsidR="003E2F31">
        <w:t xml:space="preserve"> the amount of enforcement </w:t>
      </w:r>
      <w:r w:rsidR="000009CB">
        <w:t>activities undertaken. Many factors will influence business uptake of new regulation, such as costs involved and the complexi</w:t>
      </w:r>
      <w:r w:rsidR="003E2F31">
        <w:t>ty of the change. Additionally,</w:t>
      </w:r>
      <w:r w:rsidR="00872CBF" w:rsidRPr="00872CBF">
        <w:t xml:space="preserve"> </w:t>
      </w:r>
      <w:r w:rsidR="000009CB" w:rsidRPr="002B61C8">
        <w:t>s</w:t>
      </w:r>
      <w:r w:rsidR="00AB2054">
        <w:t xml:space="preserve">ome food regulatory </w:t>
      </w:r>
      <w:r w:rsidR="00FF031F">
        <w:t>agencies</w:t>
      </w:r>
      <w:r w:rsidR="00872CBF" w:rsidRPr="002B61C8">
        <w:t xml:space="preserve"> are more lenient during the</w:t>
      </w:r>
      <w:r w:rsidR="000009CB" w:rsidRPr="002B61C8">
        <w:t xml:space="preserve"> rollout</w:t>
      </w:r>
      <w:r w:rsidR="00872CBF" w:rsidRPr="002B61C8">
        <w:t xml:space="preserve"> phase meaning that rather than initially adopting strategies from the ‘enforcement toolbox’ they provide additional guidance and assistance to those businesses struggling with the new standard. While additional time spent</w:t>
      </w:r>
      <w:r w:rsidR="002F7A1B">
        <w:t xml:space="preserve"> </w:t>
      </w:r>
      <w:r w:rsidR="00872CBF" w:rsidRPr="002B61C8">
        <w:t>with businesses managing their non</w:t>
      </w:r>
      <w:r w:rsidR="002B61C8" w:rsidRPr="002B61C8">
        <w:t>-</w:t>
      </w:r>
      <w:r w:rsidR="00872CBF" w:rsidRPr="002B61C8">
        <w:t>compliance</w:t>
      </w:r>
      <w:r w:rsidR="00B35779">
        <w:t xml:space="preserve"> may be required</w:t>
      </w:r>
      <w:r w:rsidR="00872CBF" w:rsidRPr="002B61C8">
        <w:t xml:space="preserve">, </w:t>
      </w:r>
      <w:r w:rsidR="00B35779">
        <w:t>this</w:t>
      </w:r>
      <w:r w:rsidR="002F7A1B">
        <w:t xml:space="preserve"> </w:t>
      </w:r>
      <w:r w:rsidR="00872CBF" w:rsidRPr="002B61C8">
        <w:t>may not be apparent in administration data as it may not result in an increase in penalty notices</w:t>
      </w:r>
      <w:r w:rsidR="002B61C8" w:rsidRPr="002B61C8">
        <w:t xml:space="preserve"> but rather in longer audits or inspections</w:t>
      </w:r>
      <w:r w:rsidR="00872CBF" w:rsidRPr="002B61C8">
        <w:t xml:space="preserve">. </w:t>
      </w:r>
      <w:r w:rsidR="00872CBF" w:rsidRPr="00311D30">
        <w:t xml:space="preserve">The implementation strategy that the jurisdiction adopts will impact </w:t>
      </w:r>
      <w:r w:rsidR="00311D30">
        <w:t>on</w:t>
      </w:r>
      <w:r w:rsidR="00872CBF" w:rsidRPr="00311D30">
        <w:t xml:space="preserve"> this</w:t>
      </w:r>
      <w:r w:rsidR="0035787E" w:rsidRPr="00311D30">
        <w:t xml:space="preserve"> class of costs</w:t>
      </w:r>
      <w:r w:rsidR="00337343">
        <w:rPr>
          <w:rFonts w:cs="Arial"/>
        </w:rPr>
        <w:t>—</w:t>
      </w:r>
      <w:r w:rsidR="00872CBF" w:rsidRPr="002B61C8">
        <w:t>if the jurisdiction invests more resources in the development of reference material and training and has a longer transition phase to the new standard</w:t>
      </w:r>
      <w:r w:rsidR="002F7A1B">
        <w:t>,</w:t>
      </w:r>
      <w:r w:rsidR="00872CBF" w:rsidRPr="002B61C8">
        <w:t xml:space="preserve"> the enforcement</w:t>
      </w:r>
      <w:r w:rsidR="00337343">
        <w:t>-</w:t>
      </w:r>
      <w:r w:rsidR="00872CBF" w:rsidRPr="002B61C8">
        <w:t>related costs could be smaller.</w:t>
      </w:r>
    </w:p>
    <w:p w14:paraId="367C92FA" w14:textId="77777777" w:rsidR="002958F8" w:rsidRPr="002958F8" w:rsidRDefault="00E00C1C" w:rsidP="00605969">
      <w:pPr>
        <w:pStyle w:val="Heading3"/>
        <w:rPr>
          <w:rStyle w:val="Heading3Char"/>
          <w:b/>
          <w:bCs/>
        </w:rPr>
      </w:pPr>
      <w:bookmarkStart w:id="40" w:name="_Toc470000004"/>
      <w:bookmarkStart w:id="41" w:name="_Toc482357198"/>
      <w:r w:rsidRPr="002958F8">
        <w:rPr>
          <w:rStyle w:val="Heading3Char"/>
          <w:b/>
          <w:bCs/>
        </w:rPr>
        <w:lastRenderedPageBreak/>
        <w:t>Food incidents management type of activities</w:t>
      </w:r>
      <w:bookmarkEnd w:id="40"/>
      <w:bookmarkEnd w:id="41"/>
    </w:p>
    <w:p w14:paraId="641F5915" w14:textId="6AB06F67" w:rsidR="00A83AAD" w:rsidRDefault="00F047F2" w:rsidP="006F073D">
      <w:r>
        <w:t>This group</w:t>
      </w:r>
      <w:r w:rsidR="0065639E">
        <w:t xml:space="preserve"> </w:t>
      </w:r>
      <w:r w:rsidR="00B35779">
        <w:t xml:space="preserve">of activities </w:t>
      </w:r>
      <w:r w:rsidR="0065639E">
        <w:t xml:space="preserve">captures the more unpredictable food regulatory work </w:t>
      </w:r>
      <w:r w:rsidR="00A83AAD">
        <w:t>associated with</w:t>
      </w:r>
      <w:r w:rsidR="0065639E">
        <w:t xml:space="preserve"> resp</w:t>
      </w:r>
      <w:r w:rsidR="00E00C1C">
        <w:t xml:space="preserve">onding to food safety incidents such as </w:t>
      </w:r>
      <w:r w:rsidR="005A36DB">
        <w:t xml:space="preserve">food </w:t>
      </w:r>
      <w:r w:rsidR="00E00C1C">
        <w:t>recalls</w:t>
      </w:r>
      <w:r w:rsidR="005A36DB">
        <w:t>, investigations of outbreaks of foodborne illness,</w:t>
      </w:r>
      <w:r w:rsidR="00A83AAD">
        <w:t xml:space="preserve"> and</w:t>
      </w:r>
      <w:r w:rsidR="005A36DB">
        <w:t xml:space="preserve"> handling of complaints</w:t>
      </w:r>
      <w:r w:rsidR="00E00C1C">
        <w:t>.</w:t>
      </w:r>
      <w:r w:rsidR="005A36DB">
        <w:t xml:space="preserve"> </w:t>
      </w:r>
      <w:r w:rsidR="00F33DFB" w:rsidRPr="00F33DFB">
        <w:t xml:space="preserve">Recalls of food products that fail to meet the standards set in the Code is a costly exercise for FSANZ, </w:t>
      </w:r>
      <w:r w:rsidR="00FF031F">
        <w:t>agencies</w:t>
      </w:r>
      <w:r w:rsidR="00F33DFB" w:rsidRPr="00F33DFB">
        <w:t xml:space="preserve"> and industry. </w:t>
      </w:r>
      <w:r w:rsidR="00503850" w:rsidRPr="005A36DB">
        <w:t>Th</w:t>
      </w:r>
      <w:r w:rsidR="00B35779">
        <w:t xml:space="preserve">ese activities have not been </w:t>
      </w:r>
      <w:r w:rsidR="005A36DB" w:rsidRPr="005A36DB">
        <w:t xml:space="preserve">reported to have </w:t>
      </w:r>
      <w:r w:rsidR="00A83AAD">
        <w:t xml:space="preserve">a </w:t>
      </w:r>
      <w:r w:rsidR="005A36DB" w:rsidRPr="005A36DB">
        <w:t>clear relationship with Code changes and th</w:t>
      </w:r>
      <w:r w:rsidR="00B35779">
        <w:t>erefore</w:t>
      </w:r>
      <w:r w:rsidR="00F33DFB">
        <w:t xml:space="preserve"> </w:t>
      </w:r>
      <w:r w:rsidR="00B35779">
        <w:t>are</w:t>
      </w:r>
      <w:r w:rsidR="00F33DFB">
        <w:t xml:space="preserve"> out of scope for the first version of the Government Cost </w:t>
      </w:r>
      <w:r w:rsidR="00FF031F">
        <w:t>Framework</w:t>
      </w:r>
      <w:r w:rsidR="00F33DFB">
        <w:t xml:space="preserve">, however may be further explored </w:t>
      </w:r>
      <w:r w:rsidR="00B35779">
        <w:t>later</w:t>
      </w:r>
      <w:r w:rsidR="00F33DFB">
        <w:t>.</w:t>
      </w:r>
    </w:p>
    <w:p w14:paraId="21A979C9" w14:textId="0DAEC2D9" w:rsidR="00A054DB" w:rsidRPr="00A054DB" w:rsidRDefault="00D06B29" w:rsidP="00A054DB">
      <w:r>
        <w:t>The</w:t>
      </w:r>
      <w:r w:rsidR="006E04C1">
        <w:t xml:space="preserve"> </w:t>
      </w:r>
      <w:r w:rsidR="00D34356">
        <w:t>a</w:t>
      </w:r>
      <w:r w:rsidR="00FF031F">
        <w:t>gency</w:t>
      </w:r>
      <w:r w:rsidR="006E04C1">
        <w:t xml:space="preserve"> costs </w:t>
      </w:r>
      <w:r>
        <w:t xml:space="preserve">incorporated </w:t>
      </w:r>
      <w:r w:rsidR="006E04C1">
        <w:t>into FSANZ CBA</w:t>
      </w:r>
      <w:r w:rsidR="00A97C53">
        <w:t xml:space="preserve"> </w:t>
      </w:r>
      <w:r>
        <w:t>calculations</w:t>
      </w:r>
      <w:r w:rsidR="006E04C1">
        <w:t xml:space="preserve"> </w:t>
      </w:r>
      <w:r w:rsidR="001F1C8B">
        <w:t>are</w:t>
      </w:r>
      <w:r w:rsidR="00881CD2">
        <w:t xml:space="preserve"> represented in Figure </w:t>
      </w:r>
      <w:r w:rsidR="002F7A1B">
        <w:t>1.</w:t>
      </w:r>
    </w:p>
    <w:p w14:paraId="7DB1D0DC" w14:textId="77777777" w:rsidR="00F33DFB" w:rsidRDefault="00FA1425" w:rsidP="00CA3B36">
      <w:pPr>
        <w:pStyle w:val="ListParagraph"/>
        <w:ind w:left="0"/>
        <w:rPr>
          <w:lang w:eastAsia="en-AU"/>
        </w:rPr>
      </w:pPr>
      <w:r>
        <w:rPr>
          <w:noProof/>
          <w:lang w:val="en-GB" w:eastAsia="en-GB"/>
        </w:rPr>
        <w:drawing>
          <wp:inline distT="0" distB="0" distL="0" distR="0" wp14:anchorId="7E2EC40A" wp14:editId="6323BC4D">
            <wp:extent cx="5759450" cy="5571214"/>
            <wp:effectExtent l="0" t="0" r="0" b="0"/>
            <wp:docPr id="328" name="Picture 328" descr="Figure 1 shows the hierarchy of costs that will be included in the Costing tool. These were outlined previously in section 3.1." title="Figure 1. Categorisation of relevant Agency activities into FSANZ CBA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59450" cy="5571214"/>
                    </a:xfrm>
                    <a:prstGeom prst="rect">
                      <a:avLst/>
                    </a:prstGeom>
                  </pic:spPr>
                </pic:pic>
              </a:graphicData>
            </a:graphic>
          </wp:inline>
        </w:drawing>
      </w:r>
    </w:p>
    <w:p w14:paraId="29A674A5" w14:textId="0475BF0D" w:rsidR="00654E3C" w:rsidRPr="00654E3C" w:rsidRDefault="00654E3C" w:rsidP="00654E3C">
      <w:pPr>
        <w:pStyle w:val="FSCaption"/>
        <w:rPr>
          <w:sz w:val="22"/>
          <w:lang w:eastAsia="en-AU"/>
        </w:rPr>
      </w:pPr>
      <w:r w:rsidRPr="00654E3C">
        <w:rPr>
          <w:sz w:val="22"/>
          <w:lang w:eastAsia="en-AU"/>
        </w:rPr>
        <w:t xml:space="preserve">Figure 1. Categorisation of relevant </w:t>
      </w:r>
      <w:r w:rsidR="00D34356">
        <w:rPr>
          <w:sz w:val="22"/>
          <w:lang w:eastAsia="en-AU"/>
        </w:rPr>
        <w:t>a</w:t>
      </w:r>
      <w:r w:rsidR="00FF031F">
        <w:rPr>
          <w:sz w:val="22"/>
          <w:lang w:eastAsia="en-AU"/>
        </w:rPr>
        <w:t>gency</w:t>
      </w:r>
      <w:r w:rsidRPr="00654E3C">
        <w:rPr>
          <w:sz w:val="22"/>
          <w:lang w:eastAsia="en-AU"/>
        </w:rPr>
        <w:t xml:space="preserve"> activities into FSANZ CBA structure</w:t>
      </w:r>
    </w:p>
    <w:p w14:paraId="71D5A6FE" w14:textId="77777777" w:rsidR="002A25CA" w:rsidRDefault="002A25CA" w:rsidP="002A25CA"/>
    <w:p w14:paraId="2C74624C" w14:textId="77777777" w:rsidR="00FA1425" w:rsidRDefault="00FA1425">
      <w:pPr>
        <w:spacing w:after="0"/>
        <w:rPr>
          <w:rFonts w:ascii="Verdana" w:eastAsiaTheme="majorEastAsia" w:hAnsi="Verdana" w:cs="Arial"/>
          <w:b/>
          <w:bCs/>
          <w:sz w:val="28"/>
        </w:rPr>
      </w:pPr>
      <w:bookmarkStart w:id="42" w:name="_Toc470000005"/>
      <w:r>
        <w:br w:type="page"/>
      </w:r>
    </w:p>
    <w:p w14:paraId="07EBD98D" w14:textId="342EFC63" w:rsidR="00594956" w:rsidRDefault="00FF031F" w:rsidP="00BB301C">
      <w:pPr>
        <w:pStyle w:val="Heading2"/>
      </w:pPr>
      <w:bookmarkStart w:id="43" w:name="_Toc482357199"/>
      <w:r>
        <w:lastRenderedPageBreak/>
        <w:t>Agency</w:t>
      </w:r>
      <w:r w:rsidR="00605969">
        <w:t xml:space="preserve"> b</w:t>
      </w:r>
      <w:r w:rsidR="00594956">
        <w:t>enefits</w:t>
      </w:r>
      <w:bookmarkEnd w:id="42"/>
      <w:bookmarkEnd w:id="43"/>
    </w:p>
    <w:p w14:paraId="7E05A4D3" w14:textId="09953151" w:rsidR="00594956" w:rsidRDefault="00594956" w:rsidP="00594956">
      <w:pPr>
        <w:rPr>
          <w:lang w:eastAsia="en-AU"/>
        </w:rPr>
      </w:pPr>
      <w:r>
        <w:rPr>
          <w:lang w:eastAsia="en-AU"/>
        </w:rPr>
        <w:t xml:space="preserve">To determine the net costs for jurisdictions, benefits also need to be considered. </w:t>
      </w:r>
      <w:r w:rsidRPr="00F33DFB">
        <w:rPr>
          <w:lang w:eastAsia="en-AU"/>
        </w:rPr>
        <w:t xml:space="preserve">Increases in costs for compliance and enforcement type activities may </w:t>
      </w:r>
      <w:r>
        <w:rPr>
          <w:lang w:eastAsia="en-AU"/>
        </w:rPr>
        <w:t xml:space="preserve">also </w:t>
      </w:r>
      <w:r w:rsidRPr="00F33DFB">
        <w:rPr>
          <w:lang w:eastAsia="en-AU"/>
        </w:rPr>
        <w:t xml:space="preserve">be associated with an increase of revenue to the </w:t>
      </w:r>
      <w:r w:rsidR="00337343">
        <w:rPr>
          <w:lang w:eastAsia="en-AU"/>
        </w:rPr>
        <w:t>a</w:t>
      </w:r>
      <w:r w:rsidRPr="00F33DFB">
        <w:rPr>
          <w:lang w:eastAsia="en-AU"/>
        </w:rPr>
        <w:t>gency from industry cost</w:t>
      </w:r>
      <w:r w:rsidR="00EC740F">
        <w:rPr>
          <w:lang w:eastAsia="en-AU"/>
        </w:rPr>
        <w:t xml:space="preserve"> </w:t>
      </w:r>
      <w:r w:rsidRPr="00F33DFB">
        <w:rPr>
          <w:lang w:eastAsia="en-AU"/>
        </w:rPr>
        <w:t>recovery. This may be in the form of increases in licensing fees, inspection fees (particularly when charged by the hour) or fines from enforcement activities.</w:t>
      </w:r>
      <w:r>
        <w:rPr>
          <w:lang w:eastAsia="en-AU"/>
        </w:rPr>
        <w:t xml:space="preserve"> The mo</w:t>
      </w:r>
      <w:r w:rsidR="002D27AC">
        <w:rPr>
          <w:lang w:eastAsia="en-AU"/>
        </w:rPr>
        <w:t>st</w:t>
      </w:r>
      <w:r>
        <w:rPr>
          <w:lang w:eastAsia="en-AU"/>
        </w:rPr>
        <w:t xml:space="preserve"> significant benefits </w:t>
      </w:r>
      <w:r w:rsidR="002D27AC">
        <w:rPr>
          <w:lang w:eastAsia="en-AU"/>
        </w:rPr>
        <w:t>include</w:t>
      </w:r>
      <w:r>
        <w:rPr>
          <w:lang w:eastAsia="en-AU"/>
        </w:rPr>
        <w:t>:</w:t>
      </w:r>
    </w:p>
    <w:p w14:paraId="3991321B" w14:textId="25A505B5" w:rsidR="00594956" w:rsidRDefault="002849D9" w:rsidP="000C52C6">
      <w:pPr>
        <w:pStyle w:val="FSBullet1"/>
        <w:rPr>
          <w:lang w:eastAsia="en-AU"/>
        </w:rPr>
      </w:pPr>
      <w:r>
        <w:rPr>
          <w:lang w:eastAsia="en-AU"/>
        </w:rPr>
        <w:t>The introduction of i</w:t>
      </w:r>
      <w:r w:rsidR="00594956" w:rsidRPr="002849D9">
        <w:rPr>
          <w:lang w:eastAsia="en-AU"/>
        </w:rPr>
        <w:t xml:space="preserve">ncreased fee collection for those </w:t>
      </w:r>
      <w:r w:rsidR="00337343">
        <w:rPr>
          <w:lang w:eastAsia="en-AU"/>
        </w:rPr>
        <w:t>a</w:t>
      </w:r>
      <w:r w:rsidR="00224642">
        <w:rPr>
          <w:lang w:eastAsia="en-AU"/>
        </w:rPr>
        <w:t>gencies</w:t>
      </w:r>
      <w:r w:rsidR="00594956" w:rsidRPr="002849D9">
        <w:rPr>
          <w:lang w:eastAsia="en-AU"/>
        </w:rPr>
        <w:t xml:space="preserve"> that cost recover from the industry</w:t>
      </w:r>
      <w:r w:rsidR="003D10C4" w:rsidRPr="002849D9">
        <w:rPr>
          <w:lang w:eastAsia="en-AU"/>
        </w:rPr>
        <w:t xml:space="preserve"> may result</w:t>
      </w:r>
      <w:r w:rsidR="003D10C4">
        <w:rPr>
          <w:lang w:eastAsia="en-AU"/>
        </w:rPr>
        <w:t xml:space="preserve"> from the introduction of stricter requirements into the Code</w:t>
      </w:r>
      <w:r w:rsidR="00594956">
        <w:rPr>
          <w:lang w:eastAsia="en-AU"/>
        </w:rPr>
        <w:t xml:space="preserve">. For example, introducing a new allergen into the Code may result in longer audits to verify ingredient and production segregation, residual levels </w:t>
      </w:r>
      <w:r w:rsidR="001260A8">
        <w:rPr>
          <w:lang w:eastAsia="en-AU"/>
        </w:rPr>
        <w:t xml:space="preserve">testing </w:t>
      </w:r>
      <w:r w:rsidR="00594956">
        <w:rPr>
          <w:lang w:eastAsia="en-AU"/>
        </w:rPr>
        <w:t xml:space="preserve">and appropriate labelling of products. If the </w:t>
      </w:r>
      <w:r w:rsidR="00FF031F">
        <w:rPr>
          <w:lang w:eastAsia="en-AU"/>
        </w:rPr>
        <w:t>a</w:t>
      </w:r>
      <w:r w:rsidR="00594956">
        <w:rPr>
          <w:lang w:eastAsia="en-AU"/>
        </w:rPr>
        <w:t xml:space="preserve">gency charges an audit fee then this is an increase in the revenue received by the </w:t>
      </w:r>
      <w:r w:rsidR="00FF031F">
        <w:rPr>
          <w:lang w:eastAsia="en-AU"/>
        </w:rPr>
        <w:t>agency</w:t>
      </w:r>
      <w:r w:rsidR="00594956">
        <w:rPr>
          <w:lang w:eastAsia="en-AU"/>
        </w:rPr>
        <w:t xml:space="preserve">. These </w:t>
      </w:r>
      <w:r>
        <w:rPr>
          <w:lang w:eastAsia="en-AU"/>
        </w:rPr>
        <w:t xml:space="preserve">activities </w:t>
      </w:r>
      <w:r w:rsidR="00594956">
        <w:rPr>
          <w:lang w:eastAsia="en-AU"/>
        </w:rPr>
        <w:t>would be quantified in</w:t>
      </w:r>
      <w:r w:rsidR="005E3956">
        <w:rPr>
          <w:lang w:eastAsia="en-AU"/>
        </w:rPr>
        <w:t xml:space="preserve"> FTEs as </w:t>
      </w:r>
      <w:r>
        <w:rPr>
          <w:lang w:eastAsia="en-AU"/>
        </w:rPr>
        <w:t>they are</w:t>
      </w:r>
      <w:r w:rsidR="005E3956">
        <w:rPr>
          <w:lang w:eastAsia="en-AU"/>
        </w:rPr>
        <w:t xml:space="preserve"> captured in the c</w:t>
      </w:r>
      <w:r w:rsidR="00594956">
        <w:rPr>
          <w:lang w:eastAsia="en-AU"/>
        </w:rPr>
        <w:t xml:space="preserve">ompliance and enforcement costs mentioned above and would be calculated in the same manner. </w:t>
      </w:r>
      <w:r w:rsidR="007E3B4B">
        <w:rPr>
          <w:lang w:eastAsia="en-AU"/>
        </w:rPr>
        <w:t xml:space="preserve">Any increases in regulatory fees incurred by businesses due to a change to the Code would be captured in the business segment of the FSANZ CBA. </w:t>
      </w:r>
      <w:r w:rsidR="00445572">
        <w:t xml:space="preserve">For example, figures received from Victoria indicate that approximately 60% of the total food regulatory expenses are cost recovered, which would be </w:t>
      </w:r>
      <w:r w:rsidR="002D6561">
        <w:t>captured in business costs in a</w:t>
      </w:r>
      <w:r w:rsidR="00445572">
        <w:t xml:space="preserve"> RIS.</w:t>
      </w:r>
      <w:r w:rsidR="0094159D">
        <w:t xml:space="preserve"> </w:t>
      </w:r>
      <w:r w:rsidR="002D6561">
        <w:t>T</w:t>
      </w:r>
      <w:r w:rsidR="0094159D">
        <w:t>he ‘dollar is a dollar’ approach to the CBA means that any transfers between community sub</w:t>
      </w:r>
      <w:r w:rsidR="00424456">
        <w:t>groups</w:t>
      </w:r>
      <w:r w:rsidR="0094159D">
        <w:t xml:space="preserve"> are </w:t>
      </w:r>
      <w:r w:rsidR="002D6561">
        <w:t>‘cancelled out’ in the bottom line. This case could be represented in the CBA as</w:t>
      </w:r>
      <w:r>
        <w:t xml:space="preserve"> factors such as</w:t>
      </w:r>
      <w:r w:rsidR="002D6561">
        <w:t xml:space="preserve"> longer audit FTE costs are incurred by an </w:t>
      </w:r>
      <w:r w:rsidR="00FF031F">
        <w:t>a</w:t>
      </w:r>
      <w:r w:rsidR="002D6561">
        <w:t>gency, the increased cost</w:t>
      </w:r>
      <w:r w:rsidR="00EC740F">
        <w:t xml:space="preserve"> </w:t>
      </w:r>
      <w:r w:rsidR="002D6561">
        <w:t>recovery fee is a cost incurred by the business, and the cost</w:t>
      </w:r>
      <w:r w:rsidR="00EC740F">
        <w:t xml:space="preserve"> </w:t>
      </w:r>
      <w:r w:rsidR="002D6561">
        <w:t xml:space="preserve">recovery fee received by the </w:t>
      </w:r>
      <w:r w:rsidR="00FF031F">
        <w:t>a</w:t>
      </w:r>
      <w:r w:rsidR="002D6561">
        <w:t xml:space="preserve">gency is a benefit to the </w:t>
      </w:r>
      <w:r w:rsidR="00D34356">
        <w:t>a</w:t>
      </w:r>
      <w:r w:rsidR="00FF031F">
        <w:t>gency</w:t>
      </w:r>
      <w:r w:rsidR="0094159D">
        <w:t>.</w:t>
      </w:r>
      <w:r w:rsidR="002D6561">
        <w:t xml:space="preserve"> </w:t>
      </w:r>
      <w:r w:rsidR="000038E0">
        <w:t xml:space="preserve">The </w:t>
      </w:r>
      <w:r w:rsidR="00FF031F">
        <w:t>a</w:t>
      </w:r>
      <w:r w:rsidR="000038E0">
        <w:t xml:space="preserve">gency incurs a cost to undertake the audit, the business incurs a cost to recompense the </w:t>
      </w:r>
      <w:r w:rsidR="00FF031F">
        <w:t>a</w:t>
      </w:r>
      <w:r w:rsidR="000038E0">
        <w:t xml:space="preserve">gency for the audit and the </w:t>
      </w:r>
      <w:r w:rsidR="00FF031F">
        <w:t>a</w:t>
      </w:r>
      <w:r w:rsidR="000038E0">
        <w:t>gency receives a benefit in terms of the payment received from the business. The recovery process therefore ‘cancels out’ and only the cost to the business would be captured in the end CBA figures.</w:t>
      </w:r>
    </w:p>
    <w:p w14:paraId="123C0E9A" w14:textId="77777777" w:rsidR="00594956" w:rsidRPr="00A10234" w:rsidRDefault="00EA05C4" w:rsidP="000C52C6">
      <w:pPr>
        <w:pStyle w:val="FSBullet1"/>
        <w:rPr>
          <w:lang w:eastAsia="en-AU"/>
        </w:rPr>
      </w:pPr>
      <w:r>
        <w:rPr>
          <w:lang w:eastAsia="en-AU"/>
        </w:rPr>
        <w:t>Expected f</w:t>
      </w:r>
      <w:r w:rsidR="00594956">
        <w:rPr>
          <w:lang w:eastAsia="en-AU"/>
        </w:rPr>
        <w:t xml:space="preserve">ines collected through enforcement </w:t>
      </w:r>
      <w:r>
        <w:rPr>
          <w:lang w:eastAsia="en-AU"/>
        </w:rPr>
        <w:t>of non</w:t>
      </w:r>
      <w:r w:rsidR="00424456">
        <w:rPr>
          <w:lang w:eastAsia="en-AU"/>
        </w:rPr>
        <w:t>compliant</w:t>
      </w:r>
      <w:r>
        <w:rPr>
          <w:lang w:eastAsia="en-AU"/>
        </w:rPr>
        <w:t xml:space="preserve"> businesses are not reflected in FSANZ CBA</w:t>
      </w:r>
      <w:r w:rsidR="002849D9">
        <w:rPr>
          <w:lang w:eastAsia="en-AU"/>
        </w:rPr>
        <w:t>,</w:t>
      </w:r>
      <w:r>
        <w:rPr>
          <w:lang w:eastAsia="en-AU"/>
        </w:rPr>
        <w:t xml:space="preserve"> as </w:t>
      </w:r>
      <w:r w:rsidR="002849D9">
        <w:rPr>
          <w:lang w:eastAsia="en-AU"/>
        </w:rPr>
        <w:t>the</w:t>
      </w:r>
      <w:r>
        <w:rPr>
          <w:lang w:eastAsia="en-AU"/>
        </w:rPr>
        <w:t xml:space="preserve"> expect</w:t>
      </w:r>
      <w:r w:rsidR="002849D9">
        <w:rPr>
          <w:lang w:eastAsia="en-AU"/>
        </w:rPr>
        <w:t>ation is that</w:t>
      </w:r>
      <w:r>
        <w:rPr>
          <w:lang w:eastAsia="en-AU"/>
        </w:rPr>
        <w:t xml:space="preserve"> businesses </w:t>
      </w:r>
      <w:r w:rsidR="002849D9">
        <w:rPr>
          <w:lang w:eastAsia="en-AU"/>
        </w:rPr>
        <w:t>will</w:t>
      </w:r>
      <w:r>
        <w:rPr>
          <w:lang w:eastAsia="en-AU"/>
        </w:rPr>
        <w:t xml:space="preserve"> comply with any new regulation</w:t>
      </w:r>
      <w:r w:rsidR="00594956">
        <w:rPr>
          <w:lang w:eastAsia="en-AU"/>
        </w:rPr>
        <w:t>.</w:t>
      </w:r>
    </w:p>
    <w:p w14:paraId="2508E6CA" w14:textId="01D069B6" w:rsidR="00594956" w:rsidRDefault="00594956" w:rsidP="000C52C6">
      <w:pPr>
        <w:pStyle w:val="FSBullet1"/>
        <w:rPr>
          <w:lang w:eastAsia="en-AU"/>
        </w:rPr>
      </w:pPr>
      <w:r>
        <w:rPr>
          <w:lang w:eastAsia="en-AU"/>
        </w:rPr>
        <w:t>The cost of foodborne illness outbreaks can be significant, such as the cost to the jurisdictions of providing healthcare, and lost productivity. Some changes to the Code a</w:t>
      </w:r>
      <w:r w:rsidR="002849D9">
        <w:rPr>
          <w:lang w:eastAsia="en-AU"/>
        </w:rPr>
        <w:t>im</w:t>
      </w:r>
      <w:r>
        <w:rPr>
          <w:lang w:eastAsia="en-AU"/>
        </w:rPr>
        <w:t xml:space="preserve"> to reduce the likelihood of a foodborne illness outbreak. Reducing the average number of these outbreaks is of benefit to the jurisdictions, but the overall community benefit of these outbreaks is calculated from the Cost of illness model previously mentioned and thus out of scope of the </w:t>
      </w:r>
      <w:r w:rsidR="00FF0872">
        <w:rPr>
          <w:lang w:eastAsia="en-AU"/>
        </w:rPr>
        <w:t>G</w:t>
      </w:r>
      <w:r>
        <w:rPr>
          <w:lang w:eastAsia="en-AU"/>
        </w:rPr>
        <w:t xml:space="preserve">overnment </w:t>
      </w:r>
      <w:r w:rsidR="00FF0872">
        <w:rPr>
          <w:lang w:eastAsia="en-AU"/>
        </w:rPr>
        <w:t>C</w:t>
      </w:r>
      <w:r>
        <w:rPr>
          <w:lang w:eastAsia="en-AU"/>
        </w:rPr>
        <w:t xml:space="preserve">ost </w:t>
      </w:r>
      <w:r w:rsidR="00FF031F">
        <w:rPr>
          <w:lang w:eastAsia="en-AU"/>
        </w:rPr>
        <w:t>Framework</w:t>
      </w:r>
      <w:r>
        <w:rPr>
          <w:lang w:eastAsia="en-AU"/>
        </w:rPr>
        <w:t xml:space="preserve"> </w:t>
      </w:r>
      <w:r w:rsidR="002849D9">
        <w:rPr>
          <w:lang w:eastAsia="en-AU"/>
        </w:rPr>
        <w:t>(</w:t>
      </w:r>
      <w:r>
        <w:rPr>
          <w:lang w:eastAsia="en-AU"/>
        </w:rPr>
        <w:t>to avoid double-counting</w:t>
      </w:r>
      <w:r w:rsidR="002849D9">
        <w:rPr>
          <w:lang w:eastAsia="en-AU"/>
        </w:rPr>
        <w:t>)</w:t>
      </w:r>
      <w:r>
        <w:rPr>
          <w:lang w:eastAsia="en-AU"/>
        </w:rPr>
        <w:t xml:space="preserve">. </w:t>
      </w:r>
      <w:r w:rsidR="00FF3A32">
        <w:rPr>
          <w:lang w:eastAsia="en-AU"/>
        </w:rPr>
        <w:t>This may be an area for future work.</w:t>
      </w:r>
    </w:p>
    <w:p w14:paraId="618A99BD" w14:textId="77777777" w:rsidR="00AA2296" w:rsidRDefault="00AA2296">
      <w:pPr>
        <w:spacing w:after="0"/>
        <w:rPr>
          <w:rFonts w:ascii="Verdana" w:eastAsiaTheme="majorEastAsia" w:hAnsi="Verdana" w:cstheme="majorBidi"/>
          <w:b/>
          <w:bCs/>
          <w:sz w:val="36"/>
          <w:szCs w:val="28"/>
          <w:lang w:eastAsia="en-AU"/>
        </w:rPr>
      </w:pPr>
      <w:bookmarkStart w:id="44" w:name="_Toc470000006"/>
      <w:r>
        <w:rPr>
          <w:lang w:eastAsia="en-AU"/>
        </w:rPr>
        <w:br w:type="page"/>
      </w:r>
    </w:p>
    <w:p w14:paraId="1D38D702" w14:textId="16FEFFE4" w:rsidR="00AB54B7" w:rsidRPr="0025714A" w:rsidRDefault="00AB54B7" w:rsidP="00AD4F54">
      <w:pPr>
        <w:pStyle w:val="Heading1"/>
        <w:rPr>
          <w:lang w:eastAsia="en-AU"/>
        </w:rPr>
      </w:pPr>
      <w:bookmarkStart w:id="45" w:name="_Toc482357200"/>
      <w:r w:rsidRPr="0025714A">
        <w:rPr>
          <w:lang w:eastAsia="en-AU"/>
        </w:rPr>
        <w:lastRenderedPageBreak/>
        <w:t xml:space="preserve">Government </w:t>
      </w:r>
      <w:r w:rsidR="00FF031F">
        <w:rPr>
          <w:lang w:eastAsia="en-AU"/>
        </w:rPr>
        <w:t>I</w:t>
      </w:r>
      <w:r w:rsidR="00C7037A">
        <w:rPr>
          <w:lang w:eastAsia="en-AU"/>
        </w:rPr>
        <w:t xml:space="preserve">mplementation </w:t>
      </w:r>
      <w:r w:rsidR="00FF031F">
        <w:rPr>
          <w:lang w:eastAsia="en-AU"/>
        </w:rPr>
        <w:t>C</w:t>
      </w:r>
      <w:r w:rsidRPr="0025714A">
        <w:rPr>
          <w:lang w:eastAsia="en-AU"/>
        </w:rPr>
        <w:t xml:space="preserve">ost </w:t>
      </w:r>
      <w:bookmarkEnd w:id="44"/>
      <w:r w:rsidR="00FF031F">
        <w:rPr>
          <w:lang w:eastAsia="en-AU"/>
        </w:rPr>
        <w:t>Framework</w:t>
      </w:r>
      <w:bookmarkEnd w:id="45"/>
    </w:p>
    <w:p w14:paraId="289D180F" w14:textId="3DAFC17C" w:rsidR="009C6D46" w:rsidRPr="009C6D46" w:rsidRDefault="009C6D46" w:rsidP="009C6D46">
      <w:r w:rsidRPr="009C6D46">
        <w:t>Th</w:t>
      </w:r>
      <w:r w:rsidR="00595FFE">
        <w:t xml:space="preserve">e </w:t>
      </w:r>
      <w:r w:rsidR="00FF031F">
        <w:t>f</w:t>
      </w:r>
      <w:r w:rsidR="00595FFE">
        <w:t>ramework</w:t>
      </w:r>
      <w:r w:rsidRPr="009C6D46">
        <w:t xml:space="preserve"> sets the policy for incorporating government implementation costs into FSANZ </w:t>
      </w:r>
      <w:r w:rsidR="006A6F47">
        <w:t>CBA</w:t>
      </w:r>
      <w:r w:rsidR="00595FFE">
        <w:t xml:space="preserve"> and</w:t>
      </w:r>
      <w:r w:rsidR="00984D52">
        <w:t xml:space="preserve"> </w:t>
      </w:r>
      <w:r w:rsidR="00126AD0">
        <w:t>is the application of the</w:t>
      </w:r>
      <w:r w:rsidR="00126AD0" w:rsidRPr="009C6D46">
        <w:t xml:space="preserve"> </w:t>
      </w:r>
      <w:r w:rsidRPr="009C6D46">
        <w:t>finding</w:t>
      </w:r>
      <w:r w:rsidR="00DB13FA">
        <w:t>s of</w:t>
      </w:r>
      <w:r w:rsidRPr="009C6D46">
        <w:t xml:space="preserve"> the project. </w:t>
      </w:r>
      <w:r w:rsidR="00975E01">
        <w:t>It will be possible to vary the approach if needed on a case-by-case basis. Th</w:t>
      </w:r>
      <w:r w:rsidR="00595FFE">
        <w:t>e</w:t>
      </w:r>
      <w:r w:rsidR="00975E01">
        <w:t xml:space="preserve"> </w:t>
      </w:r>
      <w:r w:rsidR="00126AD0">
        <w:t xml:space="preserve">cost predictions </w:t>
      </w:r>
      <w:r w:rsidR="00984D52">
        <w:t>generated fro</w:t>
      </w:r>
      <w:r w:rsidR="00595FFE">
        <w:t xml:space="preserve">m </w:t>
      </w:r>
      <w:r w:rsidR="00DB13FA">
        <w:t xml:space="preserve">the </w:t>
      </w:r>
      <w:r w:rsidR="00FF031F">
        <w:t>framework</w:t>
      </w:r>
      <w:r w:rsidR="00DB13FA">
        <w:t xml:space="preserve"> will be discussed</w:t>
      </w:r>
      <w:r w:rsidRPr="009C6D46">
        <w:t xml:space="preserve"> with </w:t>
      </w:r>
      <w:r w:rsidR="00DB13FA">
        <w:t xml:space="preserve">the </w:t>
      </w:r>
      <w:r w:rsidRPr="009C6D46">
        <w:t xml:space="preserve">jurisdictions as part of </w:t>
      </w:r>
      <w:r w:rsidR="00DB13FA">
        <w:t xml:space="preserve">development of any </w:t>
      </w:r>
      <w:r w:rsidR="00FF0872">
        <w:t>RIS</w:t>
      </w:r>
      <w:r w:rsidRPr="009C6D46">
        <w:t>.</w:t>
      </w:r>
    </w:p>
    <w:p w14:paraId="2DB0B0FF" w14:textId="675CC5DC" w:rsidR="007F223F" w:rsidRDefault="007F223F" w:rsidP="007F223F">
      <w:pPr>
        <w:keepNext/>
        <w:keepLines/>
        <w:rPr>
          <w:rFonts w:cs="Arial"/>
        </w:rPr>
      </w:pPr>
      <w:r w:rsidRPr="00D34ECE">
        <w:rPr>
          <w:rFonts w:cs="Arial"/>
        </w:rPr>
        <w:t>Th</w:t>
      </w:r>
      <w:r>
        <w:rPr>
          <w:rFonts w:cs="Arial"/>
        </w:rPr>
        <w:t xml:space="preserve">e </w:t>
      </w:r>
      <w:r w:rsidR="00FF031F">
        <w:rPr>
          <w:rFonts w:cs="Arial"/>
        </w:rPr>
        <w:t>framework</w:t>
      </w:r>
      <w:r>
        <w:rPr>
          <w:rFonts w:cs="Arial"/>
        </w:rPr>
        <w:t xml:space="preserve"> provides:</w:t>
      </w:r>
    </w:p>
    <w:p w14:paraId="6E82ED4B" w14:textId="6A80E8F7" w:rsidR="000A4B02" w:rsidRDefault="00A24738" w:rsidP="00057577">
      <w:pPr>
        <w:pStyle w:val="FSBullet1"/>
        <w:keepLines/>
      </w:pPr>
      <w:r>
        <w:rPr>
          <w:b/>
          <w:i/>
        </w:rPr>
        <w:t>An e</w:t>
      </w:r>
      <w:r w:rsidR="000A4B02" w:rsidRPr="00E61D66">
        <w:rPr>
          <w:b/>
          <w:i/>
        </w:rPr>
        <w:t xml:space="preserve">arly indication of the </w:t>
      </w:r>
      <w:r w:rsidR="008B6780" w:rsidRPr="00E61D66">
        <w:rPr>
          <w:b/>
          <w:i/>
        </w:rPr>
        <w:t>significance</w:t>
      </w:r>
      <w:r w:rsidR="000A4B02" w:rsidRPr="00E61D66">
        <w:rPr>
          <w:b/>
          <w:i/>
        </w:rPr>
        <w:t xml:space="preserve"> of the potential government implementat</w:t>
      </w:r>
      <w:r w:rsidR="005E1607" w:rsidRPr="00E61D66">
        <w:rPr>
          <w:b/>
          <w:i/>
        </w:rPr>
        <w:t xml:space="preserve">ion costs through </w:t>
      </w:r>
      <w:r w:rsidR="00DB13FA">
        <w:rPr>
          <w:b/>
          <w:i/>
        </w:rPr>
        <w:t>an</w:t>
      </w:r>
      <w:r w:rsidR="005E1607" w:rsidRPr="00E61D66">
        <w:rPr>
          <w:b/>
          <w:i/>
        </w:rPr>
        <w:t xml:space="preserve"> indicative</w:t>
      </w:r>
      <w:r w:rsidR="00DB13FA">
        <w:rPr>
          <w:b/>
          <w:i/>
        </w:rPr>
        <w:t xml:space="preserve"> materiality</w:t>
      </w:r>
      <w:r w:rsidR="000A4B02" w:rsidRPr="00E61D66">
        <w:rPr>
          <w:b/>
          <w:i/>
        </w:rPr>
        <w:t xml:space="preserve"> decision tool</w:t>
      </w:r>
      <w:r w:rsidR="006A6F47">
        <w:rPr>
          <w:b/>
          <w:i/>
        </w:rPr>
        <w:t xml:space="preserve"> (Materiality tool</w:t>
      </w:r>
      <w:r w:rsidR="00455B91">
        <w:rPr>
          <w:b/>
          <w:i/>
        </w:rPr>
        <w:t>)</w:t>
      </w:r>
      <w:r w:rsidR="00984D52">
        <w:rPr>
          <w:b/>
          <w:i/>
        </w:rPr>
        <w:t xml:space="preserve">. </w:t>
      </w:r>
      <w:r w:rsidR="00BE5D7C">
        <w:t xml:space="preserve">Each risk management option will be tested for the likelihood of significant government costs. </w:t>
      </w:r>
      <w:r w:rsidR="000A4B02">
        <w:t xml:space="preserve">If the early indication is that government implementation costs may be </w:t>
      </w:r>
      <w:r w:rsidR="008B6780">
        <w:t>significant</w:t>
      </w:r>
      <w:r w:rsidR="00E66778">
        <w:t>,</w:t>
      </w:r>
      <w:r w:rsidR="000A4B02">
        <w:t xml:space="preserve"> such that they could influence the outcome of a </w:t>
      </w:r>
      <w:r w:rsidR="00E66778">
        <w:t>CBA,</w:t>
      </w:r>
      <w:r w:rsidR="000A4B02">
        <w:t xml:space="preserve"> the</w:t>
      </w:r>
      <w:r w:rsidR="005E1607">
        <w:t xml:space="preserve">n the user should proceed to using the </w:t>
      </w:r>
      <w:r w:rsidR="00FF031F">
        <w:t>c</w:t>
      </w:r>
      <w:r w:rsidR="005E1607">
        <w:t>osting tool</w:t>
      </w:r>
      <w:r w:rsidR="000A4B02">
        <w:t xml:space="preserve">. </w:t>
      </w:r>
      <w:r w:rsidR="008B6780">
        <w:t>Significance</w:t>
      </w:r>
      <w:r w:rsidR="00227E09">
        <w:t xml:space="preserve"> is a contextual conclusion</w:t>
      </w:r>
      <w:r w:rsidR="00984D52">
        <w:t xml:space="preserve"> and </w:t>
      </w:r>
      <w:r w:rsidR="00227E09">
        <w:t>o</w:t>
      </w:r>
      <w:r w:rsidR="000A4B02">
        <w:t xml:space="preserve">ther segments of the </w:t>
      </w:r>
      <w:r w:rsidR="006A6F47">
        <w:t>CBA</w:t>
      </w:r>
      <w:r w:rsidR="000A4B02">
        <w:t>, such as consumer and business c</w:t>
      </w:r>
      <w:r w:rsidR="005E1607">
        <w:t>osts, need to be considered in determining</w:t>
      </w:r>
      <w:r w:rsidR="000A4B02">
        <w:t xml:space="preserve"> the </w:t>
      </w:r>
      <w:r w:rsidR="008B6780">
        <w:t>significance</w:t>
      </w:r>
      <w:r w:rsidR="000A4B02">
        <w:t xml:space="preserve"> of government implementation costs.</w:t>
      </w:r>
      <w:r w:rsidR="005F0EBF">
        <w:t xml:space="preserve"> In some instances, an industry or affected businesses may be concentrated in a small number of jurisdictions. This may mean that costs are high for these jurisdictions, but are not significant in the entire context of the CBA. If costs are likely to be burdensome to one or more jurisdictions, it may be appropriate to undertake further investigation even where the jurisdictions’ costs, in total, are not significant to the CBA.</w:t>
      </w:r>
    </w:p>
    <w:p w14:paraId="2FD63B1A" w14:textId="53DD92CE" w:rsidR="000A4B02" w:rsidRDefault="00832EE6" w:rsidP="00057577">
      <w:pPr>
        <w:pStyle w:val="FSBullet1"/>
        <w:keepLines/>
      </w:pPr>
      <w:r w:rsidRPr="00E61D66">
        <w:rPr>
          <w:b/>
          <w:i/>
        </w:rPr>
        <w:t>Quantification</w:t>
      </w:r>
      <w:r w:rsidR="00615A01" w:rsidRPr="00E61D66">
        <w:rPr>
          <w:b/>
          <w:i/>
        </w:rPr>
        <w:t xml:space="preserve"> of</w:t>
      </w:r>
      <w:r w:rsidR="000A4B02" w:rsidRPr="00E61D66">
        <w:rPr>
          <w:b/>
          <w:i/>
        </w:rPr>
        <w:t xml:space="preserve"> the government implementation costs associated with new or revised food standards through the use of the costing too</w:t>
      </w:r>
      <w:r w:rsidR="000153CC">
        <w:rPr>
          <w:b/>
          <w:i/>
        </w:rPr>
        <w:t>l (Costing tool)</w:t>
      </w:r>
      <w:r w:rsidR="00984D52">
        <w:t>.</w:t>
      </w:r>
      <w:r w:rsidR="00E61D66">
        <w:t xml:space="preserve"> </w:t>
      </w:r>
      <w:r w:rsidR="000A4B02">
        <w:t xml:space="preserve">After using the </w:t>
      </w:r>
      <w:r w:rsidR="00FF031F">
        <w:t>m</w:t>
      </w:r>
      <w:r w:rsidR="00A57F83">
        <w:t xml:space="preserve">ateriality </w:t>
      </w:r>
      <w:r w:rsidR="000A4B02">
        <w:t xml:space="preserve">tool to conclude that government implementation costs may be significant for the risk management option, the </w:t>
      </w:r>
      <w:r w:rsidR="00FF031F">
        <w:t>c</w:t>
      </w:r>
      <w:r w:rsidR="000A4B02">
        <w:t xml:space="preserve">osting tool can </w:t>
      </w:r>
      <w:r w:rsidR="00615A01">
        <w:t>be used to provide an estimate</w:t>
      </w:r>
      <w:r w:rsidR="000A4B02">
        <w:t xml:space="preserve"> of the likely cost. This </w:t>
      </w:r>
      <w:r w:rsidR="006D43FD">
        <w:t>estimate</w:t>
      </w:r>
      <w:r w:rsidR="000A4B02">
        <w:t xml:space="preserve"> will be the starting point for costs reported in the consultation RIS. The </w:t>
      </w:r>
      <w:r w:rsidR="00FF031F">
        <w:t>c</w:t>
      </w:r>
      <w:r w:rsidR="000A4B02">
        <w:t xml:space="preserve">osting tool uses the before mentioned structure of </w:t>
      </w:r>
      <w:r w:rsidR="00FF031F">
        <w:t>agency</w:t>
      </w:r>
      <w:r w:rsidR="000A4B02">
        <w:t xml:space="preserve"> implementation activities which allows for costs to be separated into </w:t>
      </w:r>
      <w:r w:rsidR="00595FFE">
        <w:t>‘</w:t>
      </w:r>
      <w:r w:rsidR="000A4B02">
        <w:t>once-off</w:t>
      </w:r>
      <w:r w:rsidR="00595FFE">
        <w:t>’</w:t>
      </w:r>
      <w:r w:rsidR="000A4B02">
        <w:t xml:space="preserve"> and </w:t>
      </w:r>
      <w:r w:rsidR="00595FFE">
        <w:t>‘</w:t>
      </w:r>
      <w:r w:rsidR="000A4B02">
        <w:t>on</w:t>
      </w:r>
      <w:r w:rsidR="00EC740F">
        <w:t>going</w:t>
      </w:r>
      <w:r w:rsidR="00595FFE">
        <w:t>’</w:t>
      </w:r>
      <w:r w:rsidR="00F426E9">
        <w:t xml:space="preserve"> costs</w:t>
      </w:r>
      <w:r w:rsidR="000A4B02">
        <w:t xml:space="preserve"> for sensitivity and discounting calculations.</w:t>
      </w:r>
    </w:p>
    <w:p w14:paraId="48A61ACE" w14:textId="7655D58E" w:rsidR="00F426E9" w:rsidRDefault="00E61D66" w:rsidP="00F426E9">
      <w:pPr>
        <w:pStyle w:val="FSBullet1"/>
        <w:ind w:left="924" w:hanging="357"/>
      </w:pPr>
      <w:r w:rsidRPr="00984D52">
        <w:rPr>
          <w:b/>
          <w:i/>
        </w:rPr>
        <w:t>A starting point to e</w:t>
      </w:r>
      <w:r w:rsidR="000A4B02" w:rsidRPr="00984D52">
        <w:rPr>
          <w:b/>
          <w:i/>
        </w:rPr>
        <w:t>ffectively engag</w:t>
      </w:r>
      <w:r w:rsidRPr="00984D52">
        <w:rPr>
          <w:b/>
          <w:i/>
        </w:rPr>
        <w:t>e</w:t>
      </w:r>
      <w:r w:rsidR="000A4B02" w:rsidRPr="00984D52">
        <w:rPr>
          <w:b/>
          <w:i/>
        </w:rPr>
        <w:t xml:space="preserve"> with the </w:t>
      </w:r>
      <w:r w:rsidR="00FF031F">
        <w:rPr>
          <w:b/>
          <w:i/>
        </w:rPr>
        <w:t>agencies</w:t>
      </w:r>
      <w:r w:rsidR="000A4B02" w:rsidRPr="00984D52">
        <w:rPr>
          <w:b/>
          <w:i/>
        </w:rPr>
        <w:t xml:space="preserve"> on the estimation of their implementation </w:t>
      </w:r>
      <w:r w:rsidR="00984D52" w:rsidRPr="00984D52">
        <w:rPr>
          <w:b/>
          <w:i/>
        </w:rPr>
        <w:t>costs</w:t>
      </w:r>
      <w:r w:rsidR="00984D52">
        <w:t>.</w:t>
      </w:r>
      <w:r w:rsidR="00984D52" w:rsidRPr="002560B4">
        <w:t xml:space="preserve"> The</w:t>
      </w:r>
      <w:r w:rsidR="00F426E9" w:rsidRPr="002560B4">
        <w:t xml:space="preserve"> values calculated by the model will act as the starting poin</w:t>
      </w:r>
      <w:r w:rsidR="00F426E9">
        <w:t>t for further discussions with jurisdictions</w:t>
      </w:r>
      <w:r w:rsidR="003A6BFA">
        <w:t>.</w:t>
      </w:r>
    </w:p>
    <w:p w14:paraId="275F19D1" w14:textId="10B0A1F0" w:rsidR="000A4B02" w:rsidRDefault="006C1E4E" w:rsidP="003A6BFA">
      <w:r>
        <w:t>T</w:t>
      </w:r>
      <w:r w:rsidR="000A4B02">
        <w:t xml:space="preserve">he structure </w:t>
      </w:r>
      <w:r w:rsidR="008179BF">
        <w:t xml:space="preserve">used in the </w:t>
      </w:r>
      <w:r w:rsidR="00FF031F">
        <w:t>framework</w:t>
      </w:r>
      <w:r w:rsidR="008179BF">
        <w:t xml:space="preserve"> </w:t>
      </w:r>
      <w:r w:rsidR="000A4B02">
        <w:t>aligns</w:t>
      </w:r>
      <w:r w:rsidR="008179BF">
        <w:t>, as best able,</w:t>
      </w:r>
      <w:r w:rsidR="000A4B02">
        <w:t xml:space="preserve"> with </w:t>
      </w:r>
      <w:r w:rsidR="00595FFE">
        <w:t xml:space="preserve">self-described </w:t>
      </w:r>
      <w:r w:rsidR="00FF031F">
        <w:t>agency</w:t>
      </w:r>
      <w:r w:rsidR="00595FFE">
        <w:t xml:space="preserve"> </w:t>
      </w:r>
      <w:r>
        <w:t>activities. It</w:t>
      </w:r>
      <w:r w:rsidR="00595FFE">
        <w:t xml:space="preserve"> is anticipated that</w:t>
      </w:r>
      <w:r w:rsidR="00AB7EE3" w:rsidRPr="00AB7EE3">
        <w:t xml:space="preserve"> </w:t>
      </w:r>
      <w:r w:rsidR="00AB7EE3">
        <w:t xml:space="preserve">this structure provides an intuitive breakdown of the activities that will assist </w:t>
      </w:r>
      <w:r w:rsidR="00FF031F">
        <w:t>agencies</w:t>
      </w:r>
      <w:r w:rsidR="008179BF">
        <w:t xml:space="preserve"> </w:t>
      </w:r>
      <w:r w:rsidR="00AB7EE3">
        <w:t xml:space="preserve">in identifying where the expected implementation costs could deviate from the </w:t>
      </w:r>
      <w:r w:rsidR="008179BF">
        <w:t xml:space="preserve">FSANZ </w:t>
      </w:r>
      <w:r w:rsidR="00AB7EE3">
        <w:t xml:space="preserve">estimate. </w:t>
      </w:r>
      <w:r w:rsidR="000A4B02">
        <w:t>This will allow FSANZ to collect more detailed</w:t>
      </w:r>
      <w:r w:rsidR="00E61D66">
        <w:t xml:space="preserve"> and consistent</w:t>
      </w:r>
      <w:r w:rsidR="000A4B02">
        <w:t xml:space="preserve"> activity and cost data </w:t>
      </w:r>
      <w:r>
        <w:t xml:space="preserve">information </w:t>
      </w:r>
      <w:r w:rsidR="000A4B02">
        <w:t xml:space="preserve">from the </w:t>
      </w:r>
      <w:r w:rsidR="00FF031F">
        <w:t>agencies</w:t>
      </w:r>
      <w:r w:rsidR="00B97237">
        <w:t xml:space="preserve"> </w:t>
      </w:r>
      <w:r w:rsidR="00AD4F54">
        <w:t>than has</w:t>
      </w:r>
      <w:r>
        <w:t xml:space="preserve"> </w:t>
      </w:r>
      <w:r w:rsidR="000A4B02">
        <w:t>previously</w:t>
      </w:r>
      <w:r>
        <w:t xml:space="preserve"> been possible</w:t>
      </w:r>
      <w:r w:rsidR="000A4B02">
        <w:t xml:space="preserve">. This feedback from the </w:t>
      </w:r>
      <w:r w:rsidR="00FF031F">
        <w:t>agencies</w:t>
      </w:r>
      <w:r w:rsidR="000A4B02">
        <w:t xml:space="preserve"> will provide a more accurate estimat</w:t>
      </w:r>
      <w:r w:rsidR="00AB7EE3">
        <w:t>e</w:t>
      </w:r>
      <w:r w:rsidR="000A4B02">
        <w:t xml:space="preserve"> of the implementation cost for the final</w:t>
      </w:r>
      <w:r w:rsidR="00E61D66">
        <w:t xml:space="preserve"> decision</w:t>
      </w:r>
      <w:r w:rsidR="000A4B02">
        <w:t xml:space="preserve"> RIS and will be fed back into FSANZ’s underlying cost data, which will improve the accuracy of the </w:t>
      </w:r>
      <w:r w:rsidR="00FF031F">
        <w:t>c</w:t>
      </w:r>
      <w:r w:rsidR="000A4B02">
        <w:t>osting tool.</w:t>
      </w:r>
    </w:p>
    <w:p w14:paraId="066E3D9F" w14:textId="77777777" w:rsidR="009C6D46" w:rsidRDefault="000E0B11" w:rsidP="009C6D46">
      <w:r w:rsidRPr="000E0B11">
        <w:rPr>
          <w:noProof/>
          <w:lang w:val="en-GB" w:eastAsia="en-GB"/>
        </w:rPr>
        <w:lastRenderedPageBreak/>
        <w:t xml:space="preserve"> </w:t>
      </w:r>
      <w:r>
        <w:rPr>
          <w:noProof/>
          <w:lang w:val="en-GB" w:eastAsia="en-GB"/>
        </w:rPr>
        <w:drawing>
          <wp:inline distT="0" distB="0" distL="0" distR="0" wp14:anchorId="6CFBBBCC" wp14:editId="10607B8C">
            <wp:extent cx="5759450" cy="5006906"/>
            <wp:effectExtent l="0" t="0" r="0" b="3810"/>
            <wp:docPr id="2" name="Picture 2" descr="Figure 2 shows the process one would take in deciding whether or not to undertake a comprehensive study of Government costs." title="Figure 2. Flow chart of FSANZ’s process for using the Government Implementation Cost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59450" cy="5006906"/>
                    </a:xfrm>
                    <a:prstGeom prst="rect">
                      <a:avLst/>
                    </a:prstGeom>
                  </pic:spPr>
                </pic:pic>
              </a:graphicData>
            </a:graphic>
          </wp:inline>
        </w:drawing>
      </w:r>
    </w:p>
    <w:p w14:paraId="4E3EB64E" w14:textId="561FB07B" w:rsidR="00BB301C" w:rsidRPr="006C1E4E" w:rsidRDefault="00BB301C" w:rsidP="00BB301C">
      <w:pPr>
        <w:pStyle w:val="FSCaption"/>
        <w:jc w:val="center"/>
        <w:rPr>
          <w:sz w:val="22"/>
        </w:rPr>
      </w:pPr>
      <w:r w:rsidRPr="006C1E4E">
        <w:rPr>
          <w:sz w:val="22"/>
        </w:rPr>
        <w:t>Figure 2. Flow chart</w:t>
      </w:r>
      <w:r w:rsidR="00F46E8C">
        <w:rPr>
          <w:sz w:val="22"/>
        </w:rPr>
        <w:t xml:space="preserve"> of</w:t>
      </w:r>
      <w:r w:rsidRPr="006C1E4E">
        <w:rPr>
          <w:sz w:val="22"/>
        </w:rPr>
        <w:t xml:space="preserve"> </w:t>
      </w:r>
      <w:r w:rsidR="000E0B11">
        <w:rPr>
          <w:sz w:val="22"/>
        </w:rPr>
        <w:t xml:space="preserve">FSANZ’s process for </w:t>
      </w:r>
      <w:r w:rsidRPr="006C1E4E">
        <w:rPr>
          <w:sz w:val="22"/>
        </w:rPr>
        <w:t xml:space="preserve">using the Government Implementation Cost </w:t>
      </w:r>
      <w:r w:rsidR="00FF031F">
        <w:rPr>
          <w:sz w:val="22"/>
        </w:rPr>
        <w:t>Framework</w:t>
      </w:r>
    </w:p>
    <w:p w14:paraId="56E4BB5B" w14:textId="77777777" w:rsidR="00D51E92" w:rsidRDefault="00946A8F" w:rsidP="00BB301C">
      <w:pPr>
        <w:pStyle w:val="Heading2"/>
      </w:pPr>
      <w:bookmarkStart w:id="46" w:name="_Toc470000007"/>
      <w:bookmarkStart w:id="47" w:name="_Toc482357201"/>
      <w:r w:rsidRPr="00CC551C">
        <w:t>M</w:t>
      </w:r>
      <w:r w:rsidR="00F426E9" w:rsidRPr="00CC551C">
        <w:t xml:space="preserve">ateriality </w:t>
      </w:r>
      <w:r w:rsidR="00D51E92" w:rsidRPr="00CC551C">
        <w:t>decision tool</w:t>
      </w:r>
      <w:bookmarkEnd w:id="46"/>
      <w:bookmarkEnd w:id="47"/>
    </w:p>
    <w:p w14:paraId="1FF476EA" w14:textId="77777777" w:rsidR="00EB39A4" w:rsidRDefault="003130E8" w:rsidP="00D51E92">
      <w:pPr>
        <w:pStyle w:val="NoSpacing"/>
        <w:rPr>
          <w:lang w:eastAsia="en-AU"/>
        </w:rPr>
      </w:pPr>
      <w:r>
        <w:rPr>
          <w:lang w:eastAsia="en-AU"/>
        </w:rPr>
        <w:t xml:space="preserve">Reducing the uncertainty of the estimate of net jurisdictions’ costs </w:t>
      </w:r>
      <w:r w:rsidR="00D7630C">
        <w:rPr>
          <w:lang w:eastAsia="en-AU"/>
        </w:rPr>
        <w:t xml:space="preserve">should be considered where their costs are likely to be significant. </w:t>
      </w:r>
      <w:r>
        <w:rPr>
          <w:lang w:eastAsia="en-AU"/>
        </w:rPr>
        <w:t>‘</w:t>
      </w:r>
      <w:r w:rsidR="008B6780">
        <w:rPr>
          <w:lang w:eastAsia="en-AU"/>
        </w:rPr>
        <w:t>Significance</w:t>
      </w:r>
      <w:r>
        <w:rPr>
          <w:lang w:eastAsia="en-AU"/>
        </w:rPr>
        <w:t>’</w:t>
      </w:r>
      <w:r w:rsidR="00881F03">
        <w:rPr>
          <w:lang w:eastAsia="en-AU"/>
        </w:rPr>
        <w:t xml:space="preserve"> </w:t>
      </w:r>
      <w:r>
        <w:rPr>
          <w:lang w:eastAsia="en-AU"/>
        </w:rPr>
        <w:t xml:space="preserve">in this case </w:t>
      </w:r>
      <w:r w:rsidR="00881F03">
        <w:rPr>
          <w:lang w:eastAsia="en-AU"/>
        </w:rPr>
        <w:t>refers to the likelihood that this segment of costs will influence the preferred risk management option.</w:t>
      </w:r>
      <w:r w:rsidR="00E5177F">
        <w:rPr>
          <w:lang w:eastAsia="en-AU"/>
        </w:rPr>
        <w:t xml:space="preserve"> </w:t>
      </w:r>
      <w:r w:rsidR="00EB39A4">
        <w:rPr>
          <w:lang w:eastAsia="en-AU"/>
        </w:rPr>
        <w:t xml:space="preserve">This means that there are two aspects to determining </w:t>
      </w:r>
      <w:r w:rsidR="008B6780">
        <w:rPr>
          <w:lang w:eastAsia="en-AU"/>
        </w:rPr>
        <w:t>significance</w:t>
      </w:r>
      <w:r>
        <w:rPr>
          <w:lang w:eastAsia="en-AU"/>
        </w:rPr>
        <w:t>, namely:</w:t>
      </w:r>
    </w:p>
    <w:p w14:paraId="0082B538" w14:textId="77777777" w:rsidR="00EB39A4" w:rsidRDefault="00A849BA" w:rsidP="000C52C6">
      <w:pPr>
        <w:pStyle w:val="FSBullet1"/>
        <w:rPr>
          <w:lang w:eastAsia="en-AU"/>
        </w:rPr>
      </w:pPr>
      <w:r>
        <w:rPr>
          <w:lang w:eastAsia="en-AU"/>
        </w:rPr>
        <w:t xml:space="preserve">likely </w:t>
      </w:r>
      <w:r w:rsidR="00D7630C">
        <w:rPr>
          <w:lang w:eastAsia="en-AU"/>
        </w:rPr>
        <w:t>magnitude</w:t>
      </w:r>
      <w:r>
        <w:rPr>
          <w:lang w:eastAsia="en-AU"/>
        </w:rPr>
        <w:t xml:space="preserve"> </w:t>
      </w:r>
      <w:r w:rsidR="00EB39A4">
        <w:rPr>
          <w:lang w:eastAsia="en-AU"/>
        </w:rPr>
        <w:t>of the jurisdictions’ net costs</w:t>
      </w:r>
    </w:p>
    <w:p w14:paraId="316EE063" w14:textId="77777777" w:rsidR="00B72B32" w:rsidRDefault="00A849BA" w:rsidP="000C52C6">
      <w:pPr>
        <w:pStyle w:val="FSBullet1"/>
        <w:rPr>
          <w:lang w:eastAsia="en-AU"/>
        </w:rPr>
      </w:pPr>
      <w:r>
        <w:rPr>
          <w:lang w:eastAsia="en-AU"/>
        </w:rPr>
        <w:t xml:space="preserve">likely </w:t>
      </w:r>
      <w:r w:rsidR="00D7630C">
        <w:rPr>
          <w:lang w:eastAsia="en-AU"/>
        </w:rPr>
        <w:t xml:space="preserve">magnitude </w:t>
      </w:r>
      <w:r w:rsidR="00EB39A4">
        <w:rPr>
          <w:lang w:eastAsia="en-AU"/>
        </w:rPr>
        <w:t xml:space="preserve">of the other net costs captured in a FSANZ CBA (i.e. </w:t>
      </w:r>
      <w:r w:rsidR="00881F03">
        <w:rPr>
          <w:lang w:eastAsia="en-AU"/>
        </w:rPr>
        <w:t xml:space="preserve">consumer and industry </w:t>
      </w:r>
      <w:r w:rsidR="00EB39A4">
        <w:rPr>
          <w:lang w:eastAsia="en-AU"/>
        </w:rPr>
        <w:t xml:space="preserve">net </w:t>
      </w:r>
      <w:r w:rsidR="00881F03">
        <w:rPr>
          <w:lang w:eastAsia="en-AU"/>
        </w:rPr>
        <w:t>costs</w:t>
      </w:r>
      <w:r w:rsidR="00455B91">
        <w:rPr>
          <w:lang w:eastAsia="en-AU"/>
        </w:rPr>
        <w:t>)</w:t>
      </w:r>
      <w:r w:rsidR="0024687E">
        <w:rPr>
          <w:lang w:eastAsia="en-AU"/>
        </w:rPr>
        <w:t>.</w:t>
      </w:r>
    </w:p>
    <w:p w14:paraId="05A314E7" w14:textId="18C23A53" w:rsidR="00DA0FC2" w:rsidRDefault="00C730FE" w:rsidP="00B85565">
      <w:pPr>
        <w:rPr>
          <w:lang w:eastAsia="en-AU"/>
        </w:rPr>
      </w:pPr>
      <w:r>
        <w:rPr>
          <w:lang w:eastAsia="en-AU"/>
        </w:rPr>
        <w:t>A number of aspects</w:t>
      </w:r>
      <w:r w:rsidR="00CD5707">
        <w:rPr>
          <w:lang w:eastAsia="en-AU"/>
        </w:rPr>
        <w:t>, or cost drivers,</w:t>
      </w:r>
      <w:r>
        <w:rPr>
          <w:lang w:eastAsia="en-AU"/>
        </w:rPr>
        <w:t xml:space="preserve"> of typical changes to the Code have been identified that influence the effort (cost) necessary for </w:t>
      </w:r>
      <w:r w:rsidR="00FF031F">
        <w:rPr>
          <w:lang w:eastAsia="en-AU"/>
        </w:rPr>
        <w:t>a</w:t>
      </w:r>
      <w:r w:rsidR="00224642">
        <w:rPr>
          <w:lang w:eastAsia="en-AU"/>
        </w:rPr>
        <w:t>gencies</w:t>
      </w:r>
      <w:r>
        <w:rPr>
          <w:lang w:eastAsia="en-AU"/>
        </w:rPr>
        <w:t xml:space="preserve"> to incorporate Co</w:t>
      </w:r>
      <w:r w:rsidR="00DA0FC2">
        <w:rPr>
          <w:lang w:eastAsia="en-AU"/>
        </w:rPr>
        <w:t>de changes into their food regul</w:t>
      </w:r>
      <w:r>
        <w:rPr>
          <w:lang w:eastAsia="en-AU"/>
        </w:rPr>
        <w:t xml:space="preserve">atory systems. </w:t>
      </w:r>
      <w:r w:rsidR="00CD5707">
        <w:rPr>
          <w:lang w:eastAsia="en-AU"/>
        </w:rPr>
        <w:t xml:space="preserve">The number of cost drivers associated with the proposed change and their likely size will give an indication </w:t>
      </w:r>
      <w:r w:rsidR="00CC551C">
        <w:rPr>
          <w:lang w:eastAsia="en-AU"/>
        </w:rPr>
        <w:t xml:space="preserve">as to whether </w:t>
      </w:r>
      <w:r w:rsidR="00CD5707">
        <w:rPr>
          <w:lang w:eastAsia="en-AU"/>
        </w:rPr>
        <w:t xml:space="preserve">the jurisdictions’ net costs are likely to be significant. </w:t>
      </w:r>
      <w:r w:rsidR="003130E8">
        <w:rPr>
          <w:lang w:eastAsia="en-AU"/>
        </w:rPr>
        <w:t>Cost drivers need to be considered within the context of likely net costs of the other community segments in order to</w:t>
      </w:r>
      <w:r w:rsidR="00CC551C">
        <w:rPr>
          <w:lang w:eastAsia="en-AU"/>
        </w:rPr>
        <w:t xml:space="preserve"> </w:t>
      </w:r>
      <w:r w:rsidR="00CD5707">
        <w:rPr>
          <w:lang w:eastAsia="en-AU"/>
        </w:rPr>
        <w:t xml:space="preserve">determine overall </w:t>
      </w:r>
      <w:r w:rsidR="008B6780">
        <w:rPr>
          <w:lang w:eastAsia="en-AU"/>
        </w:rPr>
        <w:t>significance</w:t>
      </w:r>
      <w:r w:rsidR="003130E8">
        <w:rPr>
          <w:lang w:eastAsia="en-AU"/>
        </w:rPr>
        <w:t xml:space="preserve"> </w:t>
      </w:r>
      <w:r w:rsidR="00CD5707">
        <w:rPr>
          <w:lang w:eastAsia="en-AU"/>
        </w:rPr>
        <w:t>in terms of CBA</w:t>
      </w:r>
      <w:r w:rsidR="003E00C1">
        <w:rPr>
          <w:lang w:eastAsia="en-AU"/>
        </w:rPr>
        <w:t>.</w:t>
      </w:r>
    </w:p>
    <w:p w14:paraId="5C65A637" w14:textId="6E443B3F" w:rsidR="0097504D" w:rsidRDefault="0097504D" w:rsidP="0097504D">
      <w:r>
        <w:t>Th</w:t>
      </w:r>
      <w:r w:rsidR="00212470">
        <w:t xml:space="preserve">e </w:t>
      </w:r>
      <w:r w:rsidR="00FF031F">
        <w:t>m</w:t>
      </w:r>
      <w:r w:rsidR="00212470">
        <w:t xml:space="preserve">ateriality </w:t>
      </w:r>
      <w:r>
        <w:t xml:space="preserve">tool can provide an indication of the likely significance of the jurisdictions’ net costs. </w:t>
      </w:r>
    </w:p>
    <w:p w14:paraId="42A66854" w14:textId="4AA1C976" w:rsidR="0097504D" w:rsidRDefault="0097504D" w:rsidP="0097504D">
      <w:r>
        <w:lastRenderedPageBreak/>
        <w:t>Th</w:t>
      </w:r>
      <w:r w:rsidR="00DE299C">
        <w:t>e</w:t>
      </w:r>
      <w:r>
        <w:t xml:space="preserve"> </w:t>
      </w:r>
      <w:r w:rsidR="00FF031F">
        <w:t>m</w:t>
      </w:r>
      <w:r w:rsidR="00DE299C">
        <w:t xml:space="preserve">ateriality </w:t>
      </w:r>
      <w:r>
        <w:t>tool considers the factors that will influence the amount of work required to undertake implementation activities</w:t>
      </w:r>
      <w:r w:rsidR="00DE299C">
        <w:t>.</w:t>
      </w:r>
    </w:p>
    <w:p w14:paraId="04FD46AB" w14:textId="77777777" w:rsidR="00155745" w:rsidRPr="00F75FB4" w:rsidRDefault="00155745" w:rsidP="00155745">
      <w:r w:rsidRPr="00F75FB4">
        <w:t xml:space="preserve">Factors that may influence </w:t>
      </w:r>
      <w:r w:rsidR="008B6780">
        <w:t>significance</w:t>
      </w:r>
      <w:r w:rsidRPr="00F75FB4">
        <w:t xml:space="preserve"> of government implementation costs</w:t>
      </w:r>
      <w:r w:rsidR="00276AAE">
        <w:t xml:space="preserve"> include</w:t>
      </w:r>
      <w:r w:rsidRPr="00F75FB4">
        <w:t>:</w:t>
      </w:r>
    </w:p>
    <w:p w14:paraId="038CD409" w14:textId="77777777" w:rsidR="009E0487" w:rsidRPr="000C52C6" w:rsidRDefault="00276AAE" w:rsidP="000C52C6">
      <w:pPr>
        <w:pStyle w:val="FSBullet1"/>
        <w:rPr>
          <w:i/>
        </w:rPr>
      </w:pPr>
      <w:r w:rsidRPr="000C52C6">
        <w:rPr>
          <w:i/>
        </w:rPr>
        <w:t xml:space="preserve">The </w:t>
      </w:r>
      <w:r w:rsidR="00CC551C" w:rsidRPr="000C52C6">
        <w:rPr>
          <w:i/>
        </w:rPr>
        <w:t>likelihood</w:t>
      </w:r>
      <w:r w:rsidRPr="000C52C6">
        <w:rPr>
          <w:i/>
        </w:rPr>
        <w:t xml:space="preserve"> of </w:t>
      </w:r>
      <w:r w:rsidR="009E0487" w:rsidRPr="000C52C6">
        <w:rPr>
          <w:i/>
        </w:rPr>
        <w:t>the risk management option involv</w:t>
      </w:r>
      <w:r w:rsidRPr="000C52C6">
        <w:rPr>
          <w:i/>
        </w:rPr>
        <w:t>ing</w:t>
      </w:r>
      <w:r w:rsidR="009E0487" w:rsidRPr="000C52C6">
        <w:rPr>
          <w:i/>
        </w:rPr>
        <w:t xml:space="preserve"> Code</w:t>
      </w:r>
      <w:r w:rsidRPr="000C52C6">
        <w:rPr>
          <w:i/>
        </w:rPr>
        <w:t xml:space="preserve"> change</w:t>
      </w:r>
      <w:r w:rsidR="009E0487" w:rsidRPr="000C52C6">
        <w:rPr>
          <w:i/>
        </w:rPr>
        <w:t xml:space="preserve">. </w:t>
      </w:r>
    </w:p>
    <w:p w14:paraId="4CAEFC70" w14:textId="4FF53445" w:rsidR="004C1113" w:rsidRPr="000C52C6" w:rsidRDefault="00155745" w:rsidP="000C52C6">
      <w:pPr>
        <w:pStyle w:val="FSBullet1"/>
        <w:rPr>
          <w:i/>
        </w:rPr>
      </w:pPr>
      <w:r w:rsidRPr="000C52C6">
        <w:rPr>
          <w:i/>
        </w:rPr>
        <w:t>The complexity of change to the Code</w:t>
      </w:r>
      <w:r w:rsidR="00FF031F">
        <w:rPr>
          <w:i/>
        </w:rPr>
        <w:t>.</w:t>
      </w:r>
      <w:r w:rsidRPr="000C52C6">
        <w:rPr>
          <w:i/>
        </w:rPr>
        <w:t xml:space="preserve"> </w:t>
      </w:r>
    </w:p>
    <w:p w14:paraId="7017441A" w14:textId="77777777" w:rsidR="00B41A26" w:rsidRPr="000C52C6" w:rsidRDefault="00276AAE" w:rsidP="000C52C6">
      <w:pPr>
        <w:pStyle w:val="FSBullet1"/>
        <w:rPr>
          <w:i/>
        </w:rPr>
      </w:pPr>
      <w:r w:rsidRPr="000C52C6">
        <w:rPr>
          <w:i/>
        </w:rPr>
        <w:t>The presence</w:t>
      </w:r>
      <w:r w:rsidR="003B5A8F" w:rsidRPr="000C52C6">
        <w:rPr>
          <w:i/>
        </w:rPr>
        <w:t>, structure, distribution</w:t>
      </w:r>
      <w:r w:rsidRPr="000C52C6">
        <w:rPr>
          <w:i/>
        </w:rPr>
        <w:t xml:space="preserve"> </w:t>
      </w:r>
      <w:r w:rsidR="00A24738" w:rsidRPr="000C52C6">
        <w:rPr>
          <w:i/>
        </w:rPr>
        <w:t xml:space="preserve">and size </w:t>
      </w:r>
      <w:r w:rsidRPr="000C52C6">
        <w:rPr>
          <w:i/>
        </w:rPr>
        <w:t xml:space="preserve">of the </w:t>
      </w:r>
      <w:r w:rsidR="00B41A26" w:rsidRPr="000C52C6">
        <w:rPr>
          <w:i/>
        </w:rPr>
        <w:t xml:space="preserve">industry in the jurisdiction. </w:t>
      </w:r>
    </w:p>
    <w:p w14:paraId="479C9D78" w14:textId="7E796ED2" w:rsidR="00655640" w:rsidRDefault="00EB2E45" w:rsidP="000C52C6">
      <w:pPr>
        <w:pStyle w:val="FSBullet1"/>
      </w:pPr>
      <w:r w:rsidRPr="000C52C6">
        <w:rPr>
          <w:i/>
        </w:rPr>
        <w:t>Whether the industry is presently regulated and the level of that regulation</w:t>
      </w:r>
      <w:r w:rsidR="00276AAE" w:rsidRPr="000C52C6">
        <w:rPr>
          <w:i/>
        </w:rPr>
        <w:t>.</w:t>
      </w:r>
      <w:r w:rsidR="00276AAE">
        <w:t xml:space="preserve"> If the industry</w:t>
      </w:r>
      <w:r w:rsidR="00655640">
        <w:t xml:space="preserve"> was not previously regulated in the </w:t>
      </w:r>
      <w:r w:rsidR="00B201E8">
        <w:t>jurisdiction</w:t>
      </w:r>
      <w:r w:rsidR="00655640">
        <w:t xml:space="preserve"> (beyond standard food safety requirements), identifying the relevant businesses in jurisdictions can be a costly exercise. The amount of training for </w:t>
      </w:r>
      <w:r w:rsidR="00FF031F">
        <w:t>agency</w:t>
      </w:r>
      <w:r w:rsidR="00655640">
        <w:t xml:space="preserve"> staff, local governments, auditors, inspectors and businesses would be expected to be higher as they learn about the intricacies of the industry as well as the new regulation and how it should be enforced.</w:t>
      </w:r>
    </w:p>
    <w:p w14:paraId="5E51E087" w14:textId="139D60B5" w:rsidR="00AA2296" w:rsidRDefault="00155745" w:rsidP="000C52C6">
      <w:pPr>
        <w:pStyle w:val="FSBullet1"/>
      </w:pPr>
      <w:r w:rsidRPr="000C52C6">
        <w:rPr>
          <w:i/>
        </w:rPr>
        <w:t xml:space="preserve">The </w:t>
      </w:r>
      <w:r w:rsidR="00EB2E45" w:rsidRPr="000C52C6">
        <w:rPr>
          <w:i/>
        </w:rPr>
        <w:t>skills and systems that industry may already have in place to manage the new regulatory requirements.</w:t>
      </w:r>
      <w:r w:rsidR="00EB2E45">
        <w:t xml:space="preserve"> </w:t>
      </w:r>
      <w:r>
        <w:t xml:space="preserve">This </w:t>
      </w:r>
      <w:r w:rsidR="00B201E8">
        <w:t>affects</w:t>
      </w:r>
      <w:r>
        <w:t xml:space="preserve"> the amount of training necessary for effective implementation and/or the reference material needed. Smaller businesses were reported to require a disproportionate amount of regulators time</w:t>
      </w:r>
      <w:r w:rsidR="00655640">
        <w:t>.</w:t>
      </w:r>
      <w:r>
        <w:t xml:space="preserve"> </w:t>
      </w:r>
      <w:r w:rsidR="00655640">
        <w:t>F</w:t>
      </w:r>
      <w:r>
        <w:t>or this reason</w:t>
      </w:r>
      <w:r w:rsidR="00655640">
        <w:t>,</w:t>
      </w:r>
      <w:r>
        <w:t xml:space="preserve"> the </w:t>
      </w:r>
      <w:r w:rsidR="00464204">
        <w:t>number of small businesses</w:t>
      </w:r>
      <w:r w:rsidR="007B0A19">
        <w:t xml:space="preserve"> </w:t>
      </w:r>
      <w:r w:rsidR="00655640">
        <w:t>will</w:t>
      </w:r>
      <w:r>
        <w:t xml:space="preserve"> be used as a proxy for the </w:t>
      </w:r>
      <w:r w:rsidR="00CC551C">
        <w:t>factor ‘</w:t>
      </w:r>
      <w:r>
        <w:t>food safety sophistication</w:t>
      </w:r>
      <w:r w:rsidR="00CC551C">
        <w:t>’</w:t>
      </w:r>
      <w:r>
        <w:t xml:space="preserve"> of businesses within the jurisdiction.</w:t>
      </w:r>
      <w:r w:rsidR="00655640">
        <w:t xml:space="preserve"> The food safety sophistication of the affected businesses is represented by the </w:t>
      </w:r>
      <w:r w:rsidR="00276AAE">
        <w:t>‘</w:t>
      </w:r>
      <w:r w:rsidR="00655640">
        <w:t>Number of small businesses affected by the change</w:t>
      </w:r>
      <w:r w:rsidR="00276AAE">
        <w:t>’</w:t>
      </w:r>
      <w:r w:rsidR="00655640">
        <w:t xml:space="preserve"> question in the </w:t>
      </w:r>
      <w:r w:rsidR="00480C46">
        <w:t>m</w:t>
      </w:r>
      <w:r w:rsidR="00655640">
        <w:t>ateriality tool.</w:t>
      </w:r>
    </w:p>
    <w:p w14:paraId="061F9661" w14:textId="77777777" w:rsidR="00AA2296" w:rsidRPr="000C52C6" w:rsidRDefault="00276AAE" w:rsidP="000C52C6">
      <w:pPr>
        <w:pStyle w:val="FSBullet1"/>
        <w:rPr>
          <w:i/>
        </w:rPr>
      </w:pPr>
      <w:r w:rsidRPr="000C52C6">
        <w:rPr>
          <w:i/>
        </w:rPr>
        <w:t xml:space="preserve">The likelihood that </w:t>
      </w:r>
      <w:r w:rsidR="007B0A19" w:rsidRPr="000C52C6">
        <w:rPr>
          <w:i/>
        </w:rPr>
        <w:t>j</w:t>
      </w:r>
      <w:r w:rsidR="001C5EFB" w:rsidRPr="000C52C6">
        <w:rPr>
          <w:i/>
        </w:rPr>
        <w:t>urisdictions</w:t>
      </w:r>
      <w:r w:rsidR="00155745" w:rsidRPr="000C52C6">
        <w:rPr>
          <w:i/>
        </w:rPr>
        <w:t xml:space="preserve"> </w:t>
      </w:r>
      <w:r w:rsidRPr="000C52C6">
        <w:rPr>
          <w:i/>
        </w:rPr>
        <w:t xml:space="preserve">will </w:t>
      </w:r>
      <w:r w:rsidR="00155745" w:rsidRPr="000C52C6">
        <w:rPr>
          <w:i/>
        </w:rPr>
        <w:t xml:space="preserve">require </w:t>
      </w:r>
      <w:r w:rsidR="007B0A19" w:rsidRPr="000C52C6">
        <w:rPr>
          <w:i/>
        </w:rPr>
        <w:t xml:space="preserve">the </w:t>
      </w:r>
      <w:r w:rsidR="00155745" w:rsidRPr="000C52C6">
        <w:rPr>
          <w:i/>
        </w:rPr>
        <w:t xml:space="preserve">businesses to hold a </w:t>
      </w:r>
      <w:r w:rsidR="008D5F25" w:rsidRPr="000C52C6">
        <w:rPr>
          <w:i/>
        </w:rPr>
        <w:t xml:space="preserve">new </w:t>
      </w:r>
      <w:r w:rsidR="00155745" w:rsidRPr="000C52C6">
        <w:rPr>
          <w:i/>
        </w:rPr>
        <w:t>food safety program</w:t>
      </w:r>
      <w:r w:rsidR="00655640" w:rsidRPr="000C52C6">
        <w:rPr>
          <w:i/>
        </w:rPr>
        <w:t>,</w:t>
      </w:r>
      <w:r w:rsidR="008D5F25" w:rsidRPr="000C52C6">
        <w:rPr>
          <w:i/>
        </w:rPr>
        <w:t xml:space="preserve"> or alter an existing food safety program</w:t>
      </w:r>
      <w:r w:rsidR="00655640" w:rsidRPr="000C52C6">
        <w:rPr>
          <w:i/>
        </w:rPr>
        <w:t>.</w:t>
      </w:r>
      <w:r w:rsidR="00155745" w:rsidRPr="000C52C6">
        <w:rPr>
          <w:i/>
        </w:rPr>
        <w:t xml:space="preserve"> </w:t>
      </w:r>
    </w:p>
    <w:p w14:paraId="04D8B9F8" w14:textId="77777777" w:rsidR="00EB2E45" w:rsidRDefault="00EB2E45" w:rsidP="00AA2296"/>
    <w:p w14:paraId="09631173" w14:textId="77777777" w:rsidR="00CC551C" w:rsidRDefault="00915F89" w:rsidP="00221A5E">
      <w:pPr>
        <w:rPr>
          <w:noProof/>
          <w:lang w:val="en-GB" w:eastAsia="en-GB"/>
        </w:rPr>
      </w:pPr>
      <w:r>
        <w:rPr>
          <w:noProof/>
          <w:lang w:val="en-GB" w:eastAsia="en-GB"/>
        </w:rPr>
        <w:lastRenderedPageBreak/>
        <w:drawing>
          <wp:inline distT="0" distB="0" distL="0" distR="0" wp14:anchorId="607055D7" wp14:editId="2EF193FE">
            <wp:extent cx="5757062" cy="6517843"/>
            <wp:effectExtent l="0" t="0" r="0" b="0"/>
            <wp:docPr id="12" name="Picture 12" descr="Figure 3A shows how the cost drivers interacts with each cost category. Provides an example of a combination of cost drivers that would lead to governments costs being considered potentially substantial." title="Figure 3 A. Examples of cost drivers affecting the expected significance of government implementation co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59450" cy="6520547"/>
                    </a:xfrm>
                    <a:prstGeom prst="rect">
                      <a:avLst/>
                    </a:prstGeom>
                  </pic:spPr>
                </pic:pic>
              </a:graphicData>
            </a:graphic>
          </wp:inline>
        </w:drawing>
      </w:r>
      <w:r w:rsidR="00CC551C" w:rsidRPr="00CC551C">
        <w:t>Figure 3 A. Examples of cost drivers affecting the expected significance of government implementation costs.</w:t>
      </w:r>
      <w:r w:rsidR="00221A5E">
        <w:rPr>
          <w:noProof/>
          <w:lang w:val="en-GB" w:eastAsia="en-GB"/>
        </w:rPr>
        <w:t xml:space="preserve"> </w:t>
      </w:r>
    </w:p>
    <w:p w14:paraId="38A11EA7" w14:textId="77777777" w:rsidR="0024687E" w:rsidRPr="00CC551C" w:rsidRDefault="00915F89" w:rsidP="0024687E">
      <w:pPr>
        <w:pStyle w:val="FSCaption"/>
        <w:rPr>
          <w:sz w:val="22"/>
        </w:rPr>
      </w:pPr>
      <w:r>
        <w:rPr>
          <w:noProof/>
          <w:lang w:val="en-GB" w:eastAsia="en-GB"/>
        </w:rPr>
        <w:lastRenderedPageBreak/>
        <w:drawing>
          <wp:inline distT="0" distB="0" distL="0" distR="0" wp14:anchorId="409EF655" wp14:editId="2D5CEA01">
            <wp:extent cx="5759450" cy="6697207"/>
            <wp:effectExtent l="0" t="0" r="0" b="8890"/>
            <wp:docPr id="6" name="Picture 6" descr="Figure 3 B shows how the cost drivers interacts with each cost category. Provides an example of a combination of cost drivers that would lead to governments costs being considered unlikely to influence the outcome of a cost benefit analysis." title="Figure 3 B. Examples of cost drivers affecting the expected significance of government implementation co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59450" cy="6697207"/>
                    </a:xfrm>
                    <a:prstGeom prst="rect">
                      <a:avLst/>
                    </a:prstGeom>
                  </pic:spPr>
                </pic:pic>
              </a:graphicData>
            </a:graphic>
          </wp:inline>
        </w:drawing>
      </w:r>
      <w:r w:rsidR="0024687E" w:rsidRPr="0024687E">
        <w:rPr>
          <w:sz w:val="22"/>
        </w:rPr>
        <w:t xml:space="preserve"> </w:t>
      </w:r>
      <w:r w:rsidR="0024687E" w:rsidRPr="00CC551C">
        <w:rPr>
          <w:sz w:val="22"/>
        </w:rPr>
        <w:t>Figure 3 B. Examples of cost drivers affecting the expected significance of government implementation costs.</w:t>
      </w:r>
    </w:p>
    <w:p w14:paraId="1821B726" w14:textId="77777777" w:rsidR="00FF79BF" w:rsidRDefault="00FF79BF" w:rsidP="008F386F">
      <w:pPr>
        <w:rPr>
          <w:lang w:eastAsia="en-AU"/>
        </w:rPr>
      </w:pPr>
    </w:p>
    <w:p w14:paraId="607BF569" w14:textId="77777777" w:rsidR="006B543F" w:rsidRPr="008F386F" w:rsidRDefault="00915F89" w:rsidP="008F386F">
      <w:pPr>
        <w:rPr>
          <w:lang w:eastAsia="en-AU"/>
        </w:rPr>
      </w:pPr>
      <w:r>
        <w:rPr>
          <w:noProof/>
          <w:lang w:val="en-GB" w:eastAsia="en-GB"/>
        </w:rPr>
        <w:lastRenderedPageBreak/>
        <w:drawing>
          <wp:inline distT="0" distB="0" distL="0" distR="0" wp14:anchorId="6089FB02" wp14:editId="286F62FB">
            <wp:extent cx="5759450" cy="6677516"/>
            <wp:effectExtent l="0" t="0" r="0" b="9525"/>
            <wp:docPr id="5" name="Picture 5" descr="Figure 3 C shows how the cost drivers interacts with each cost category. Provides an example of a combination of cost drivers that would lead to governments costs being considered to be overall minor." title="Figure 3 C. Examples of cost drivers affecting the expected significance of government implementation co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59450" cy="6677516"/>
                    </a:xfrm>
                    <a:prstGeom prst="rect">
                      <a:avLst/>
                    </a:prstGeom>
                  </pic:spPr>
                </pic:pic>
              </a:graphicData>
            </a:graphic>
          </wp:inline>
        </w:drawing>
      </w:r>
    </w:p>
    <w:p w14:paraId="0E82975D" w14:textId="77777777" w:rsidR="00CC551C" w:rsidRPr="00CC551C" w:rsidRDefault="00CC551C" w:rsidP="00CC551C">
      <w:pPr>
        <w:pStyle w:val="FSCaption"/>
        <w:rPr>
          <w:sz w:val="22"/>
        </w:rPr>
      </w:pPr>
      <w:r w:rsidRPr="00CC551C">
        <w:rPr>
          <w:sz w:val="22"/>
        </w:rPr>
        <w:t>Figure 3 C. Examples of cost drivers affecting the expected significance of government implementation costs.</w:t>
      </w:r>
    </w:p>
    <w:p w14:paraId="42F57292" w14:textId="77777777" w:rsidR="00D92778" w:rsidRDefault="00D92778">
      <w:pPr>
        <w:spacing w:after="0"/>
        <w:rPr>
          <w:rFonts w:ascii="Verdana" w:eastAsiaTheme="majorEastAsia" w:hAnsi="Verdana" w:cs="Arial"/>
          <w:b/>
          <w:bCs/>
          <w:sz w:val="28"/>
          <w:lang w:eastAsia="en-AU"/>
        </w:rPr>
      </w:pPr>
      <w:r>
        <w:rPr>
          <w:lang w:eastAsia="en-AU"/>
        </w:rPr>
        <w:br w:type="page"/>
      </w:r>
    </w:p>
    <w:p w14:paraId="5D39362F" w14:textId="77777777" w:rsidR="00AB54B7" w:rsidRPr="0025714A" w:rsidRDefault="00AB54B7" w:rsidP="006B6818">
      <w:pPr>
        <w:pStyle w:val="Heading2"/>
      </w:pPr>
      <w:bookmarkStart w:id="48" w:name="_Toc470000008"/>
      <w:bookmarkStart w:id="49" w:name="_Toc482357202"/>
      <w:r w:rsidRPr="0025714A">
        <w:lastRenderedPageBreak/>
        <w:t xml:space="preserve">Costing </w:t>
      </w:r>
      <w:r w:rsidR="0039364E">
        <w:t>tool</w:t>
      </w:r>
      <w:bookmarkEnd w:id="48"/>
      <w:bookmarkEnd w:id="49"/>
    </w:p>
    <w:p w14:paraId="76E09F88" w14:textId="1793C152" w:rsidR="009B7070" w:rsidRDefault="004326A0" w:rsidP="00BF4CDA">
      <w:r>
        <w:t>T</w:t>
      </w:r>
      <w:r w:rsidR="003974C3">
        <w:t xml:space="preserve">he </w:t>
      </w:r>
      <w:r w:rsidR="00D97F19">
        <w:t>c</w:t>
      </w:r>
      <w:r w:rsidR="009B7070">
        <w:t xml:space="preserve">osting tool can be used to provide an estimate of the </w:t>
      </w:r>
      <w:r w:rsidR="006B0C29">
        <w:t>jurisdictions</w:t>
      </w:r>
      <w:r>
        <w:t>’</w:t>
      </w:r>
      <w:r w:rsidR="006B0C29">
        <w:t xml:space="preserve"> implementation costs</w:t>
      </w:r>
      <w:r>
        <w:t xml:space="preserve">, particularly where the indicative decision tool suggests that jurisdictions’ implementation costs may be significant for determining the </w:t>
      </w:r>
      <w:r w:rsidR="00293BF2">
        <w:t>p</w:t>
      </w:r>
      <w:r>
        <w:t>referred option.</w:t>
      </w:r>
    </w:p>
    <w:p w14:paraId="22552B48" w14:textId="77777777" w:rsidR="00816650" w:rsidRDefault="00816650" w:rsidP="00BF4CDA">
      <w:r>
        <w:t xml:space="preserve">This </w:t>
      </w:r>
      <w:r w:rsidR="00A16117">
        <w:t xml:space="preserve">estimate </w:t>
      </w:r>
      <w:r>
        <w:t xml:space="preserve">will be the starting cost figure reported for the risk management option to be included in consultation </w:t>
      </w:r>
      <w:r w:rsidR="003974C3">
        <w:t>with</w:t>
      </w:r>
      <w:r>
        <w:t xml:space="preserve"> the </w:t>
      </w:r>
      <w:r w:rsidR="00764677">
        <w:t>jurisdictions</w:t>
      </w:r>
      <w:r>
        <w:t>.</w:t>
      </w:r>
    </w:p>
    <w:p w14:paraId="386A1AD6" w14:textId="3FD998A5" w:rsidR="00BF4CDA" w:rsidRDefault="00BF4CDA" w:rsidP="00BF4CDA">
      <w:r>
        <w:t>Th</w:t>
      </w:r>
      <w:r w:rsidR="0038012D">
        <w:t>e</w:t>
      </w:r>
      <w:r>
        <w:t xml:space="preserve"> </w:t>
      </w:r>
      <w:r w:rsidR="00D97F19">
        <w:t>c</w:t>
      </w:r>
      <w:r w:rsidR="0038012D">
        <w:t>ost</w:t>
      </w:r>
      <w:r w:rsidR="00293BF2">
        <w:t>ing</w:t>
      </w:r>
      <w:r w:rsidR="0038012D">
        <w:t xml:space="preserve"> tool </w:t>
      </w:r>
      <w:r>
        <w:t xml:space="preserve">is built around </w:t>
      </w:r>
      <w:r w:rsidR="00C62FF7">
        <w:t xml:space="preserve">information and data provided during consultation with the </w:t>
      </w:r>
      <w:r w:rsidR="00D97F19">
        <w:t>a</w:t>
      </w:r>
      <w:r w:rsidR="00FF031F">
        <w:t>gencies</w:t>
      </w:r>
      <w:r w:rsidR="00C62FF7">
        <w:t xml:space="preserve">. </w:t>
      </w:r>
      <w:r w:rsidR="00A1692D">
        <w:t xml:space="preserve">The tool is based on </w:t>
      </w:r>
      <w:r>
        <w:t>a simplified activity</w:t>
      </w:r>
      <w:r w:rsidR="00FF4633">
        <w:t>-</w:t>
      </w:r>
      <w:r>
        <w:t>based costing approach</w:t>
      </w:r>
      <w:r w:rsidR="009C0D50">
        <w:rPr>
          <w:rStyle w:val="FootnoteReference"/>
        </w:rPr>
        <w:footnoteReference w:id="6"/>
      </w:r>
      <w:r w:rsidR="00152792">
        <w:t xml:space="preserve"> and</w:t>
      </w:r>
      <w:r w:rsidR="00920F81">
        <w:t xml:space="preserve"> involve</w:t>
      </w:r>
      <w:r w:rsidR="005D49FD">
        <w:t>s</w:t>
      </w:r>
      <w:r>
        <w:t>:</w:t>
      </w:r>
    </w:p>
    <w:p w14:paraId="599447A0" w14:textId="77777777" w:rsidR="00BF4CDA" w:rsidRDefault="005D49FD" w:rsidP="00BF4CDA">
      <w:pPr>
        <w:pStyle w:val="FSBullet1"/>
      </w:pPr>
      <w:r>
        <w:t>Identifying t</w:t>
      </w:r>
      <w:r w:rsidR="00BF4CDA">
        <w:t xml:space="preserve">he key activities involved in introducing new or revised standards into the </w:t>
      </w:r>
      <w:r w:rsidR="00802DD3">
        <w:t>jurisdictions</w:t>
      </w:r>
      <w:r w:rsidR="00BF4CDA">
        <w:t>’ food regulatory system</w:t>
      </w:r>
      <w:r w:rsidR="0038012D">
        <w:t xml:space="preserve"> </w:t>
      </w:r>
      <w:r w:rsidR="00BF4CDA">
        <w:t>(e.g. additional time at an audit would be needed to explain the new requirements to businesses).</w:t>
      </w:r>
    </w:p>
    <w:p w14:paraId="288CB4B2" w14:textId="3804883D" w:rsidR="00BF4CDA" w:rsidRDefault="005D49FD" w:rsidP="00BF4CDA">
      <w:pPr>
        <w:pStyle w:val="FSBullet1"/>
      </w:pPr>
      <w:r>
        <w:t>Collecting g</w:t>
      </w:r>
      <w:r w:rsidR="00BF4CDA">
        <w:t xml:space="preserve">eneral cost data from the </w:t>
      </w:r>
      <w:r w:rsidR="00D97F19">
        <w:t>a</w:t>
      </w:r>
      <w:r w:rsidR="00FF031F">
        <w:t>gencies</w:t>
      </w:r>
      <w:r w:rsidR="00BF4CDA">
        <w:t xml:space="preserve"> that will allow for estimates of per unit costs of the activities (e.g. an audit may </w:t>
      </w:r>
      <w:r w:rsidR="00152792">
        <w:t>cost</w:t>
      </w:r>
      <w:r w:rsidR="00BF4CDA">
        <w:t xml:space="preserve"> $250 per hour).</w:t>
      </w:r>
      <w:r w:rsidR="00AD48C9">
        <w:t xml:space="preserve"> </w:t>
      </w:r>
      <w:r w:rsidR="00533788">
        <w:t xml:space="preserve">These figures are the </w:t>
      </w:r>
      <w:r w:rsidR="00AD48C9">
        <w:t>cost data</w:t>
      </w:r>
      <w:r w:rsidR="00424456">
        <w:t>set</w:t>
      </w:r>
      <w:r w:rsidR="00AD48C9">
        <w:t xml:space="preserve"> that underpins the </w:t>
      </w:r>
      <w:r w:rsidR="00D97F19">
        <w:t>c</w:t>
      </w:r>
      <w:r w:rsidR="00AD48C9">
        <w:t>osting tool.</w:t>
      </w:r>
    </w:p>
    <w:p w14:paraId="38FCD5E6" w14:textId="77777777" w:rsidR="00BF4CDA" w:rsidRDefault="005D49FD" w:rsidP="00BF4CDA">
      <w:pPr>
        <w:pStyle w:val="FSBullet1"/>
      </w:pPr>
      <w:r>
        <w:t>E</w:t>
      </w:r>
      <w:r w:rsidR="0038012D">
        <w:t>s</w:t>
      </w:r>
      <w:r w:rsidR="00BF4CDA">
        <w:t>timat</w:t>
      </w:r>
      <w:r>
        <w:t>ing</w:t>
      </w:r>
      <w:r w:rsidR="00BF4CDA">
        <w:t xml:space="preserve"> the effort involved </w:t>
      </w:r>
      <w:r>
        <w:t xml:space="preserve">to undertake an implementation </w:t>
      </w:r>
      <w:r w:rsidR="00BF4CDA">
        <w:t>activity (e.g. the new standard may involve an additional half an hour at an audit to explain the changes to more sophisticated businesses</w:t>
      </w:r>
      <w:r w:rsidR="00152792">
        <w:t>,</w:t>
      </w:r>
      <w:r w:rsidR="00BF4CDA">
        <w:t xml:space="preserve"> and an hour </w:t>
      </w:r>
      <w:r w:rsidR="00152792">
        <w:t xml:space="preserve">per audit </w:t>
      </w:r>
      <w:r w:rsidR="00BF4CDA">
        <w:t>at smaller businesses).</w:t>
      </w:r>
    </w:p>
    <w:p w14:paraId="56A6AC19" w14:textId="20EB590A" w:rsidR="0038012D" w:rsidRDefault="005D49FD" w:rsidP="00BF4CDA">
      <w:pPr>
        <w:pStyle w:val="FSBullet1"/>
      </w:pPr>
      <w:r>
        <w:t>Calculating the implementation cost to each</w:t>
      </w:r>
      <w:r w:rsidR="00BF4CDA">
        <w:t xml:space="preserve"> </w:t>
      </w:r>
      <w:r w:rsidR="00D97F19">
        <w:t>a</w:t>
      </w:r>
      <w:r w:rsidR="00FF031F">
        <w:t>gency</w:t>
      </w:r>
      <w:r>
        <w:t xml:space="preserve"> by looking at the activities they undertake and the cost of those activities</w:t>
      </w:r>
      <w:r w:rsidR="00BF4CDA">
        <w:t>.</w:t>
      </w:r>
    </w:p>
    <w:p w14:paraId="5325293A" w14:textId="0D6013CB" w:rsidR="00BF4CDA" w:rsidRDefault="0038012D" w:rsidP="00BF4CDA">
      <w:pPr>
        <w:pStyle w:val="FSBullet1"/>
      </w:pPr>
      <w:r>
        <w:t>Aggregat</w:t>
      </w:r>
      <w:r w:rsidR="00293BF2">
        <w:t>ing</w:t>
      </w:r>
      <w:r>
        <w:t xml:space="preserve"> the net costs for the </w:t>
      </w:r>
      <w:r w:rsidR="00D97F19">
        <w:t>a</w:t>
      </w:r>
      <w:r w:rsidR="00FF031F">
        <w:t>gencies</w:t>
      </w:r>
      <w:r>
        <w:t xml:space="preserve"> in the jurisdiction to determine the net jurisdiction</w:t>
      </w:r>
      <w:r w:rsidR="00293BF2">
        <w:t>al</w:t>
      </w:r>
      <w:r>
        <w:t xml:space="preserve"> cost, and from this the Australian and New Zealand net government implementation costs.</w:t>
      </w:r>
    </w:p>
    <w:p w14:paraId="53AB705C" w14:textId="39E40686" w:rsidR="006751F1" w:rsidRDefault="006751F1" w:rsidP="006751F1">
      <w:r>
        <w:t xml:space="preserve">Over time as this </w:t>
      </w:r>
      <w:r w:rsidR="00FF031F">
        <w:t>f</w:t>
      </w:r>
      <w:r>
        <w:t>ramework is used in FSANZ food standards development projects</w:t>
      </w:r>
      <w:r w:rsidR="00AD46D4">
        <w:t>,</w:t>
      </w:r>
      <w:r>
        <w:t xml:space="preserve"> </w:t>
      </w:r>
      <w:r w:rsidR="00AD46D4">
        <w:t>the</w:t>
      </w:r>
      <w:r>
        <w:t xml:space="preserve"> data will improve</w:t>
      </w:r>
      <w:r w:rsidR="00F427C8">
        <w:t>, which</w:t>
      </w:r>
      <w:r>
        <w:t xml:space="preserve"> will be reflected in </w:t>
      </w:r>
      <w:r w:rsidR="00F427C8">
        <w:t xml:space="preserve">the </w:t>
      </w:r>
      <w:r>
        <w:t>preliminary cost estimates.</w:t>
      </w:r>
    </w:p>
    <w:p w14:paraId="73024E8A" w14:textId="77777777" w:rsidR="0038012D" w:rsidRDefault="00152792" w:rsidP="0038012D">
      <w:pPr>
        <w:keepNext/>
      </w:pPr>
      <w:r>
        <w:t>Separate cost estimations are required for each jurisdiction d</w:t>
      </w:r>
      <w:r w:rsidR="0038012D">
        <w:t>ue to</w:t>
      </w:r>
      <w:r w:rsidR="00F427C8">
        <w:t xml:space="preserve"> </w:t>
      </w:r>
      <w:r>
        <w:t xml:space="preserve">factors </w:t>
      </w:r>
      <w:r w:rsidR="0038012D">
        <w:t>such as the presence or absence of industries and jurisdiction</w:t>
      </w:r>
      <w:r w:rsidR="005F085E">
        <w:t>-specific</w:t>
      </w:r>
      <w:r w:rsidR="0038012D">
        <w:t xml:space="preserve"> food regulations</w:t>
      </w:r>
      <w:r>
        <w:t>.</w:t>
      </w:r>
      <w:r w:rsidR="00AD5B91">
        <w:t xml:space="preserve"> For example, chapters three and four of the Code are not mandatory in New Zealand. Where New Zealand decides to not adopt FSANZ changes to these chapters into their food safety system they will not incur costs related to their implementation.</w:t>
      </w:r>
    </w:p>
    <w:p w14:paraId="3A8BEB29" w14:textId="77777777" w:rsidR="00E961F9" w:rsidRDefault="00E961F9" w:rsidP="00E961F9"/>
    <w:p w14:paraId="24C95472" w14:textId="77777777" w:rsidR="006751F1" w:rsidRPr="006751F1" w:rsidRDefault="006751F1" w:rsidP="006751F1"/>
    <w:p w14:paraId="5AB95701" w14:textId="77777777" w:rsidR="00AA2296" w:rsidRDefault="00AA2296">
      <w:pPr>
        <w:spacing w:after="0"/>
        <w:rPr>
          <w:rFonts w:ascii="Verdana" w:eastAsiaTheme="majorEastAsia" w:hAnsi="Verdana" w:cstheme="majorBidi"/>
          <w:b/>
          <w:bCs/>
          <w:szCs w:val="24"/>
          <w:lang w:eastAsia="en-AU"/>
        </w:rPr>
      </w:pPr>
      <w:bookmarkStart w:id="50" w:name="_Toc470000010"/>
      <w:r>
        <w:br w:type="page"/>
      </w:r>
    </w:p>
    <w:p w14:paraId="134BA70B" w14:textId="1D162C31" w:rsidR="008B7ADD" w:rsidRDefault="008B7ADD" w:rsidP="009C0D50">
      <w:pPr>
        <w:pStyle w:val="Heading3"/>
      </w:pPr>
      <w:bookmarkStart w:id="51" w:name="_Toc482357203"/>
      <w:r>
        <w:lastRenderedPageBreak/>
        <w:t xml:space="preserve">The process of using the </w:t>
      </w:r>
      <w:r w:rsidR="00D97F19">
        <w:t>c</w:t>
      </w:r>
      <w:r>
        <w:t>osting tool in the RIS structure</w:t>
      </w:r>
      <w:bookmarkEnd w:id="50"/>
      <w:bookmarkEnd w:id="51"/>
    </w:p>
    <w:p w14:paraId="58541721" w14:textId="76AA2399" w:rsidR="00FD704E" w:rsidRDefault="00B201E8" w:rsidP="00BF4CDA">
      <w:r w:rsidRPr="00B201E8">
        <w:rPr>
          <w:noProof/>
          <w:lang w:val="en-GB" w:eastAsia="en-GB"/>
        </w:rPr>
        <w:t xml:space="preserve"> </w:t>
      </w:r>
      <w:r w:rsidR="00E24E2B" w:rsidRPr="00E24E2B">
        <w:rPr>
          <w:noProof/>
          <w:lang w:val="en-GB" w:eastAsia="en-GB"/>
        </w:rPr>
        <w:t xml:space="preserve"> </w:t>
      </w:r>
      <w:r w:rsidR="00E24E2B">
        <w:rPr>
          <w:noProof/>
          <w:lang w:val="en-GB" w:eastAsia="en-GB"/>
        </w:rPr>
        <w:drawing>
          <wp:inline distT="0" distB="0" distL="0" distR="0" wp14:anchorId="1D743985" wp14:editId="45EB4546">
            <wp:extent cx="5010150" cy="8039100"/>
            <wp:effectExtent l="0" t="0" r="0" b="0"/>
            <wp:docPr id="3" name="Picture 3" descr="This flow chart outlines the steps undertaken to use the costing tool withing the FSANZ regulatory analysis process" title="Figure 4: The process of using the costing tool within the RIS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010150" cy="8039100"/>
                    </a:xfrm>
                    <a:prstGeom prst="rect">
                      <a:avLst/>
                    </a:prstGeom>
                  </pic:spPr>
                </pic:pic>
              </a:graphicData>
            </a:graphic>
          </wp:inline>
        </w:drawing>
      </w:r>
    </w:p>
    <w:p w14:paraId="2D08276E" w14:textId="67F53DF3" w:rsidR="00F427C8" w:rsidRPr="00F427C8" w:rsidRDefault="00F427C8" w:rsidP="00F427C8">
      <w:pPr>
        <w:pStyle w:val="FSCaption"/>
        <w:rPr>
          <w:sz w:val="22"/>
        </w:rPr>
      </w:pPr>
      <w:r w:rsidRPr="00F427C8">
        <w:rPr>
          <w:sz w:val="22"/>
        </w:rPr>
        <w:t xml:space="preserve">Figure 4. The process of using the </w:t>
      </w:r>
      <w:r w:rsidR="00AD5C83">
        <w:rPr>
          <w:sz w:val="22"/>
        </w:rPr>
        <w:t>c</w:t>
      </w:r>
      <w:r w:rsidRPr="00F427C8">
        <w:rPr>
          <w:sz w:val="22"/>
        </w:rPr>
        <w:t>osting tool within the RIS structure</w:t>
      </w:r>
    </w:p>
    <w:p w14:paraId="2CDD63A8" w14:textId="77777777" w:rsidR="007C7446" w:rsidRDefault="007C7446" w:rsidP="00BF4CDA"/>
    <w:p w14:paraId="4444DC74" w14:textId="77777777" w:rsidR="003137C7" w:rsidRDefault="006844B6" w:rsidP="009C0D50">
      <w:pPr>
        <w:pStyle w:val="Heading3"/>
        <w:rPr>
          <w:lang w:val="en-GB"/>
        </w:rPr>
      </w:pPr>
      <w:bookmarkStart w:id="52" w:name="_Toc470000011"/>
      <w:bookmarkStart w:id="53" w:name="_Toc482357204"/>
      <w:r>
        <w:rPr>
          <w:lang w:val="en-GB"/>
        </w:rPr>
        <w:lastRenderedPageBreak/>
        <w:t>Quantifying costs and benefits</w:t>
      </w:r>
      <w:bookmarkEnd w:id="52"/>
      <w:bookmarkEnd w:id="53"/>
    </w:p>
    <w:p w14:paraId="20CA1F5D" w14:textId="77777777" w:rsidR="007E594C" w:rsidRDefault="007E594C" w:rsidP="000C52C6">
      <w:r>
        <w:t>Below is a data capture form from the costing tool and some brief discussion on how it should be filled out. This process requires a good knowledge of the industry sector and the regulatory and non-regulatory options being considered.</w:t>
      </w:r>
    </w:p>
    <w:p w14:paraId="052208BB" w14:textId="77777777" w:rsidR="007C7446" w:rsidRDefault="00B71398" w:rsidP="00BF4CDA">
      <w:r>
        <w:rPr>
          <w:noProof/>
          <w:lang w:val="en-GB" w:eastAsia="en-GB"/>
        </w:rPr>
        <w:drawing>
          <wp:inline distT="0" distB="0" distL="0" distR="0" wp14:anchorId="3C1243BA" wp14:editId="23BD1821">
            <wp:extent cx="5759450" cy="4051921"/>
            <wp:effectExtent l="0" t="0" r="0" b="6350"/>
            <wp:docPr id="4" name="Picture 4" descr="Figure 5 is a worked example of the policy costs from the Costing tool." title="Figure 5. Example Costing tool – Implementation strategy cost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59450" cy="4051921"/>
                    </a:xfrm>
                    <a:prstGeom prst="rect">
                      <a:avLst/>
                    </a:prstGeom>
                  </pic:spPr>
                </pic:pic>
              </a:graphicData>
            </a:graphic>
          </wp:inline>
        </w:drawing>
      </w:r>
    </w:p>
    <w:p w14:paraId="05B5AE87" w14:textId="78248F94" w:rsidR="00F427C8" w:rsidRPr="00F427C8" w:rsidRDefault="00F427C8" w:rsidP="00F427C8">
      <w:pPr>
        <w:pStyle w:val="FSCaption"/>
        <w:rPr>
          <w:sz w:val="22"/>
        </w:rPr>
      </w:pPr>
      <w:r w:rsidRPr="00F427C8">
        <w:rPr>
          <w:sz w:val="22"/>
        </w:rPr>
        <w:t xml:space="preserve">Figure 5. Example </w:t>
      </w:r>
      <w:r w:rsidR="00D97F19">
        <w:rPr>
          <w:sz w:val="22"/>
        </w:rPr>
        <w:t>c</w:t>
      </w:r>
      <w:r w:rsidRPr="00F427C8">
        <w:rPr>
          <w:sz w:val="22"/>
        </w:rPr>
        <w:t>osting tool – Implementation strategy cost category</w:t>
      </w:r>
    </w:p>
    <w:p w14:paraId="25F51430" w14:textId="77777777" w:rsidR="003807B8" w:rsidRDefault="003807B8" w:rsidP="003807B8">
      <w:r>
        <w:t>In order to calculate the jurisdictions’ costs per year:</w:t>
      </w:r>
    </w:p>
    <w:p w14:paraId="4614302E" w14:textId="77777777" w:rsidR="003807B8" w:rsidRDefault="003807B8" w:rsidP="000C52C6">
      <w:pPr>
        <w:pStyle w:val="FSBullet1"/>
        <w:numPr>
          <w:ilvl w:val="0"/>
          <w:numId w:val="29"/>
        </w:numPr>
      </w:pPr>
      <w:r>
        <w:t>Indicate which year you are calculating costs for, with zero being the year the Code change was finalised.</w:t>
      </w:r>
    </w:p>
    <w:p w14:paraId="0F893E23" w14:textId="77777777" w:rsidR="003807B8" w:rsidRDefault="003807B8" w:rsidP="000C52C6">
      <w:pPr>
        <w:pStyle w:val="FSBullet1"/>
        <w:numPr>
          <w:ilvl w:val="0"/>
          <w:numId w:val="29"/>
        </w:numPr>
      </w:pPr>
      <w:r>
        <w:t>Indicate how many resources are used per activity for that year. All activities in the above Figure 5 are calculated in staff</w:t>
      </w:r>
      <w:r w:rsidR="00EC740F">
        <w:t>-</w:t>
      </w:r>
      <w:r>
        <w:t>hours.</w:t>
      </w:r>
    </w:p>
    <w:p w14:paraId="1F218DFF" w14:textId="77777777" w:rsidR="008A491F" w:rsidRDefault="00D861D8" w:rsidP="000C52C6">
      <w:pPr>
        <w:pStyle w:val="FSBullet1"/>
        <w:numPr>
          <w:ilvl w:val="0"/>
          <w:numId w:val="29"/>
        </w:numPr>
      </w:pPr>
      <w:r>
        <w:t>Undertaking the first two steps</w:t>
      </w:r>
      <w:r w:rsidR="008A491F">
        <w:t xml:space="preserve"> provides the total costs for that year per Cost category </w:t>
      </w:r>
      <w:r w:rsidR="00424456">
        <w:t>that is</w:t>
      </w:r>
      <w:r w:rsidR="008A491F">
        <w:t xml:space="preserve"> Implementation strategy, Roll-out and On</w:t>
      </w:r>
      <w:r w:rsidR="00EC740F">
        <w:t>going</w:t>
      </w:r>
      <w:r w:rsidR="008A491F">
        <w:t xml:space="preserve"> operations.</w:t>
      </w:r>
    </w:p>
    <w:p w14:paraId="65513BD6" w14:textId="77777777" w:rsidR="00E15041" w:rsidRDefault="00E15041" w:rsidP="006C6563">
      <w:r>
        <w:t>A more extensive example of the completion of these fields is provided in Appendix 4.</w:t>
      </w:r>
    </w:p>
    <w:p w14:paraId="78717687" w14:textId="77777777" w:rsidR="0015563F" w:rsidRDefault="00D23D15" w:rsidP="006C6563">
      <w:r>
        <w:t>Filling out the form requires a good knowledge of what is being propose</w:t>
      </w:r>
      <w:r w:rsidR="0015563F">
        <w:t>d and the present level of regulatory oversight of the industry. A couple of diagrams have been developed below to show how this can be thought about in different situations.</w:t>
      </w:r>
    </w:p>
    <w:p w14:paraId="33DD0790" w14:textId="2F6244B5" w:rsidR="006C6563" w:rsidRDefault="00D03A1A" w:rsidP="006C6563">
      <w:r>
        <w:t>If the businesses were already subject to food regulation through on</w:t>
      </w:r>
      <w:r w:rsidR="00EC740F">
        <w:t>going</w:t>
      </w:r>
      <w:r>
        <w:t xml:space="preserve"> operational compliance work</w:t>
      </w:r>
      <w:r w:rsidR="00EE51E6">
        <w:t>,</w:t>
      </w:r>
      <w:r>
        <w:t xml:space="preserve"> then the status quo would include a baseline of activity in this category, as represented below in </w:t>
      </w:r>
      <w:r w:rsidR="000D7812">
        <w:t>F</w:t>
      </w:r>
      <w:r w:rsidR="003D3CAD">
        <w:t>igure 6</w:t>
      </w:r>
      <w:r>
        <w:t>A.</w:t>
      </w:r>
      <w:r w:rsidR="001B3E77">
        <w:t xml:space="preserve"> </w:t>
      </w:r>
      <w:r w:rsidR="00CA399E">
        <w:t xml:space="preserve">The </w:t>
      </w:r>
      <w:r w:rsidR="00D97F19">
        <w:t>co</w:t>
      </w:r>
      <w:r w:rsidR="00CA399E">
        <w:t xml:space="preserve">sting tool seeks to isolate the incremental </w:t>
      </w:r>
      <w:r w:rsidR="00902982">
        <w:t xml:space="preserve">or marginal </w:t>
      </w:r>
      <w:r w:rsidR="00CA399E">
        <w:t>work associated with incorporating new or revised food standards into their regulatory systems, as represented as the areas under the curves shown as double arrows. In this case, there would be no</w:t>
      </w:r>
      <w:r w:rsidR="00455B91">
        <w:t xml:space="preserve"> or</w:t>
      </w:r>
      <w:r w:rsidR="00CA399E">
        <w:t xml:space="preserve"> only minimal, costs incurred in the ‘On</w:t>
      </w:r>
      <w:r w:rsidR="00EC740F">
        <w:t>going</w:t>
      </w:r>
      <w:r w:rsidR="00CA399E">
        <w:t xml:space="preserve"> compliance’ cost category.</w:t>
      </w:r>
    </w:p>
    <w:p w14:paraId="4177F628" w14:textId="77777777" w:rsidR="00F427C8" w:rsidRDefault="00F427C8" w:rsidP="00315E16"/>
    <w:p w14:paraId="322B2404" w14:textId="77777777" w:rsidR="00F427C8" w:rsidRDefault="00F427C8" w:rsidP="00315E16"/>
    <w:p w14:paraId="3C116BDE" w14:textId="77777777" w:rsidR="00F427C8" w:rsidRDefault="00F427C8" w:rsidP="00315E16">
      <w:r>
        <w:rPr>
          <w:noProof/>
          <w:lang w:val="en-GB" w:eastAsia="en-GB"/>
        </w:rPr>
        <w:lastRenderedPageBreak/>
        <w:drawing>
          <wp:inline distT="0" distB="0" distL="0" distR="0" wp14:anchorId="2853707F" wp14:editId="240F8F0E">
            <wp:extent cx="5334000" cy="3057525"/>
            <wp:effectExtent l="0" t="0" r="0" b="9525"/>
            <wp:docPr id="7" name="Picture 7" descr="Figure 6A demonstrates the flow and timing of work experienced by regulatory agencies in implementing new food standards. This example is for when there is existing regulatory compliance activity for the industry." title="Figure 6 A. Examples of typical timings of implementation phases for Code ch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334000" cy="3057525"/>
                    </a:xfrm>
                    <a:prstGeom prst="rect">
                      <a:avLst/>
                    </a:prstGeom>
                  </pic:spPr>
                </pic:pic>
              </a:graphicData>
            </a:graphic>
          </wp:inline>
        </w:drawing>
      </w:r>
    </w:p>
    <w:p w14:paraId="03640941" w14:textId="77777777" w:rsidR="00F427C8" w:rsidRPr="00F427C8" w:rsidRDefault="00F427C8" w:rsidP="00F427C8">
      <w:pPr>
        <w:pStyle w:val="FSCaption"/>
        <w:rPr>
          <w:sz w:val="22"/>
        </w:rPr>
      </w:pPr>
      <w:r w:rsidRPr="00F427C8">
        <w:rPr>
          <w:sz w:val="22"/>
        </w:rPr>
        <w:t>Figure 6 A. Examples of typical timings of implementation phases for Code changes</w:t>
      </w:r>
    </w:p>
    <w:p w14:paraId="2FC3C1C7" w14:textId="77777777" w:rsidR="00CA399E" w:rsidRDefault="00CA399E" w:rsidP="00CA399E">
      <w:r>
        <w:t>However, for businesses</w:t>
      </w:r>
      <w:r w:rsidR="00902982">
        <w:t xml:space="preserve"> that</w:t>
      </w:r>
      <w:r>
        <w:t xml:space="preserve"> are not currently captured in the jurisdiction’s food regulatory system</w:t>
      </w:r>
      <w:r w:rsidR="00152792">
        <w:t>,</w:t>
      </w:r>
      <w:r>
        <w:t xml:space="preserve"> there is no baseline on</w:t>
      </w:r>
      <w:r w:rsidR="00EC740F">
        <w:t>going</w:t>
      </w:r>
      <w:r>
        <w:t xml:space="preserve"> compliance work</w:t>
      </w:r>
      <w:r w:rsidR="00152792">
        <w:t xml:space="preserve"> component</w:t>
      </w:r>
      <w:r>
        <w:t>. Thi</w:t>
      </w:r>
      <w:r w:rsidR="003D3CAD">
        <w:t xml:space="preserve">s </w:t>
      </w:r>
      <w:r w:rsidR="00152792">
        <w:t xml:space="preserve">situation </w:t>
      </w:r>
      <w:r w:rsidR="003D3CAD">
        <w:t xml:space="preserve">is represented below in </w:t>
      </w:r>
      <w:r w:rsidR="00152792">
        <w:t xml:space="preserve">Figure </w:t>
      </w:r>
      <w:r w:rsidR="003D3CAD">
        <w:t>6</w:t>
      </w:r>
      <w:r>
        <w:t>B. This means that all on</w:t>
      </w:r>
      <w:r w:rsidR="00EC740F">
        <w:t>going</w:t>
      </w:r>
      <w:r>
        <w:t xml:space="preserve"> operational compliance costs would be relevant to the CBA as the costs are incurred as a direct result of a Code change. There would be a cost reflected in the on</w:t>
      </w:r>
      <w:r w:rsidR="00EC740F">
        <w:t>going</w:t>
      </w:r>
      <w:r>
        <w:t xml:space="preserve"> operational compliance cost category in this case.</w:t>
      </w:r>
    </w:p>
    <w:p w14:paraId="03EDCDDB" w14:textId="77777777" w:rsidR="00F427C8" w:rsidRDefault="00F427C8" w:rsidP="00CA399E"/>
    <w:p w14:paraId="54FF06E0" w14:textId="77777777" w:rsidR="00B678CE" w:rsidRDefault="00315E16" w:rsidP="00E07948">
      <w:pPr>
        <w:pStyle w:val="FSCaption"/>
      </w:pPr>
      <w:r>
        <w:rPr>
          <w:noProof/>
          <w:lang w:val="en-GB" w:eastAsia="en-GB"/>
        </w:rPr>
        <w:drawing>
          <wp:inline distT="0" distB="0" distL="0" distR="0" wp14:anchorId="03EFDA8A" wp14:editId="239F9A6E">
            <wp:extent cx="5334000" cy="3095625"/>
            <wp:effectExtent l="0" t="0" r="0" b="9525"/>
            <wp:docPr id="10" name="Picture 10" descr="Figure 6 B demonstrates the flow and timing of work experienced by regulatory agencies in implementing new food standards. This example is for when there is not existing regulatory compliance activity for the industry." title="Figure 6 B. Example of typical timings of implementation phases for Code changes where  businesses are not currently regul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334000" cy="3095625"/>
                    </a:xfrm>
                    <a:prstGeom prst="rect">
                      <a:avLst/>
                    </a:prstGeom>
                  </pic:spPr>
                </pic:pic>
              </a:graphicData>
            </a:graphic>
          </wp:inline>
        </w:drawing>
      </w:r>
      <w:r w:rsidR="0024687E" w:rsidRPr="0024687E">
        <w:rPr>
          <w:sz w:val="22"/>
        </w:rPr>
        <w:t xml:space="preserve"> </w:t>
      </w:r>
      <w:r w:rsidR="0024687E" w:rsidRPr="00F427C8">
        <w:rPr>
          <w:sz w:val="22"/>
        </w:rPr>
        <w:t>Figure 6 B. Example of typical timings of implementation phases for Code changes where  businesses are not currently regulated</w:t>
      </w:r>
    </w:p>
    <w:p w14:paraId="56B7A1AE" w14:textId="77777777" w:rsidR="00B678CE" w:rsidRDefault="00B678CE" w:rsidP="00B678CE">
      <w:pPr>
        <w:rPr>
          <w:rFonts w:ascii="Verdana" w:eastAsiaTheme="majorEastAsia" w:hAnsi="Verdana" w:cs="Arial"/>
          <w:sz w:val="28"/>
        </w:rPr>
      </w:pPr>
    </w:p>
    <w:p w14:paraId="5DC27609" w14:textId="77777777" w:rsidR="003E41F4" w:rsidRDefault="00CB12C8" w:rsidP="009C0D50">
      <w:pPr>
        <w:pStyle w:val="Heading3"/>
      </w:pPr>
      <w:bookmarkStart w:id="54" w:name="_Toc470000012"/>
      <w:bookmarkStart w:id="55" w:name="_Toc482357205"/>
      <w:r>
        <w:lastRenderedPageBreak/>
        <w:t>Calculating net present value</w:t>
      </w:r>
      <w:bookmarkEnd w:id="54"/>
      <w:bookmarkEnd w:id="55"/>
    </w:p>
    <w:p w14:paraId="083731B5" w14:textId="67F2B203" w:rsidR="005A4DEB" w:rsidRDefault="00CA3A89" w:rsidP="00CA3A89">
      <w:r>
        <w:t xml:space="preserve">The timing of typical implementation </w:t>
      </w:r>
      <w:r w:rsidR="0067460E">
        <w:t xml:space="preserve">activities </w:t>
      </w:r>
      <w:r>
        <w:t xml:space="preserve">is important in calculating the net present value of jurisdictions’ costs. Activities will be assumed to occur as indicated in the shaded years in </w:t>
      </w:r>
      <w:r w:rsidR="0067460E">
        <w:t>F</w:t>
      </w:r>
      <w:r>
        <w:t xml:space="preserve">igure </w:t>
      </w:r>
      <w:r w:rsidR="003D3CAD">
        <w:t>7</w:t>
      </w:r>
      <w:r>
        <w:t xml:space="preserve"> below for the purpose of the preliminary cost estimate. </w:t>
      </w:r>
      <w:r w:rsidR="00D97F19">
        <w:t>a</w:t>
      </w:r>
      <w:r w:rsidR="00FF031F">
        <w:t>gencies</w:t>
      </w:r>
      <w:r>
        <w:t xml:space="preserve"> will have the opportunity to justify why the standard timeline may not be appropriate for the particular proposed change during </w:t>
      </w:r>
      <w:r w:rsidR="0067460E">
        <w:t xml:space="preserve">the </w:t>
      </w:r>
      <w:r>
        <w:t>consultation</w:t>
      </w:r>
      <w:r w:rsidR="0067460E">
        <w:t xml:space="preserve"> process</w:t>
      </w:r>
      <w:r>
        <w:t>.</w:t>
      </w:r>
    </w:p>
    <w:p w14:paraId="487A9896" w14:textId="77777777" w:rsidR="0097610F" w:rsidRDefault="0097610F" w:rsidP="00CA3A89">
      <w:r>
        <w:t>After calculating the costs using the above steps, the cost per year is discounted by 7% per year in order to calculate the total net cost at year 0 prices.</w:t>
      </w:r>
      <w:r w:rsidR="00A62D97">
        <w:t xml:space="preserve"> This provides the net present value at year 0.</w:t>
      </w:r>
    </w:p>
    <w:p w14:paraId="223C964C" w14:textId="77777777" w:rsidR="00CA3A89" w:rsidRDefault="00CA3A89" w:rsidP="00CA3A89">
      <w:r>
        <w:t>The net present value is then combined with other data from the overall CBA for sensitivity testing and analysis.</w:t>
      </w:r>
    </w:p>
    <w:p w14:paraId="095EB95B" w14:textId="77777777" w:rsidR="003F60C8" w:rsidRDefault="003834EC" w:rsidP="003F60C8">
      <w:r>
        <w:rPr>
          <w:noProof/>
          <w:lang w:val="en-GB" w:eastAsia="en-GB"/>
        </w:rPr>
        <w:drawing>
          <wp:inline distT="0" distB="0" distL="0" distR="0" wp14:anchorId="3CF42D93" wp14:editId="7E854268">
            <wp:extent cx="5759450" cy="834997"/>
            <wp:effectExtent l="0" t="0" r="0" b="3810"/>
            <wp:docPr id="17" name="Picture 17" descr="Figure 7 depicts the years that we would expect the regulatory agencies to experience implementation related costs per cost category." title="Figure 7. Standard implementation timings for CBA, represented by highlighted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759450" cy="834997"/>
                    </a:xfrm>
                    <a:prstGeom prst="rect">
                      <a:avLst/>
                    </a:prstGeom>
                  </pic:spPr>
                </pic:pic>
              </a:graphicData>
            </a:graphic>
          </wp:inline>
        </w:drawing>
      </w:r>
    </w:p>
    <w:p w14:paraId="11F98013" w14:textId="77777777" w:rsidR="00F427C8" w:rsidRPr="00F427C8" w:rsidRDefault="00F427C8" w:rsidP="00F427C8">
      <w:pPr>
        <w:pStyle w:val="FSCaption"/>
        <w:rPr>
          <w:sz w:val="22"/>
        </w:rPr>
      </w:pPr>
      <w:r w:rsidRPr="00F427C8">
        <w:rPr>
          <w:sz w:val="22"/>
        </w:rPr>
        <w:t>Figure 7. Standard implementation timings for CBA</w:t>
      </w:r>
      <w:r w:rsidR="003834EC">
        <w:rPr>
          <w:sz w:val="22"/>
        </w:rPr>
        <w:t>, represented by highlighted cells.</w:t>
      </w:r>
    </w:p>
    <w:p w14:paraId="2BB30C3B" w14:textId="64A40A42" w:rsidR="009C0D50" w:rsidRPr="005F78A6" w:rsidRDefault="009C0D50" w:rsidP="009C0D50">
      <w:pPr>
        <w:pStyle w:val="Heading2"/>
      </w:pPr>
      <w:bookmarkStart w:id="56" w:name="_Toc470000013"/>
      <w:bookmarkStart w:id="57" w:name="_Toc482357206"/>
      <w:r>
        <w:t xml:space="preserve">Engaging with </w:t>
      </w:r>
      <w:r w:rsidR="00D97F19">
        <w:t>a</w:t>
      </w:r>
      <w:r w:rsidR="00FF031F">
        <w:t>gencies</w:t>
      </w:r>
      <w:r>
        <w:t xml:space="preserve"> on-costs</w:t>
      </w:r>
      <w:bookmarkEnd w:id="56"/>
      <w:bookmarkEnd w:id="57"/>
    </w:p>
    <w:p w14:paraId="0EE8F72C" w14:textId="042A78C5" w:rsidR="009C0D50" w:rsidRDefault="009C0D50" w:rsidP="009C0D50">
      <w:r>
        <w:t xml:space="preserve">Early engagement with the jurisdictions will be undertaken by FSANZ if the </w:t>
      </w:r>
      <w:r w:rsidR="00D97F19">
        <w:t>c</w:t>
      </w:r>
      <w:r>
        <w:t>osting tool indicates that government implementation costs may be significant.</w:t>
      </w:r>
    </w:p>
    <w:p w14:paraId="1A5F0E41" w14:textId="6C67DB88" w:rsidR="009C0D50" w:rsidRDefault="009C0D50" w:rsidP="009C0D50">
      <w:r>
        <w:t xml:space="preserve">The limitations in the dataset underpinning the </w:t>
      </w:r>
      <w:r w:rsidR="00D97F19">
        <w:t>c</w:t>
      </w:r>
      <w:r>
        <w:t>osting tool means that additional effort may sometimes be needed to obtain better quality cost estimates. Where government implementation costs are likely to influence the outcome of the CBA, consultation will be critical in reducing the uncertainty of the estimates.</w:t>
      </w:r>
    </w:p>
    <w:p w14:paraId="4BB2A117" w14:textId="2D51C534" w:rsidR="00315E16" w:rsidRDefault="00AA0332" w:rsidP="009C0D50">
      <w:pPr>
        <w:keepNext/>
      </w:pPr>
      <w:r>
        <w:t xml:space="preserve">The </w:t>
      </w:r>
      <w:r w:rsidR="00FF031F">
        <w:t>f</w:t>
      </w:r>
      <w:r w:rsidR="009C0D50">
        <w:t xml:space="preserve">ramework allows data to be gathered more efficiently as it provides a basis for discussion between FSANZ and the </w:t>
      </w:r>
      <w:r w:rsidR="00FF031F">
        <w:t>agencies</w:t>
      </w:r>
      <w:r w:rsidR="009C0D50">
        <w:t xml:space="preserve"> to reconcile FSANZ cost estimates with the </w:t>
      </w:r>
      <w:r w:rsidR="00FF031F">
        <w:t>agencies</w:t>
      </w:r>
      <w:r w:rsidR="009C0D50">
        <w:t xml:space="preserve"> expected costs. These discussions may lead to improvements </w:t>
      </w:r>
      <w:r w:rsidR="00E15041">
        <w:t xml:space="preserve"> in </w:t>
      </w:r>
      <w:r w:rsidR="009C0D50">
        <w:t>t</w:t>
      </w:r>
      <w:r w:rsidR="005F085E">
        <w:t xml:space="preserve">he cost predictions </w:t>
      </w:r>
      <w:r w:rsidR="009C0D50">
        <w:t>that will in turn be incorporated into underlying data to improve future preliminary estimates.</w:t>
      </w:r>
    </w:p>
    <w:p w14:paraId="1EDAC227" w14:textId="77777777" w:rsidR="006F25FD" w:rsidRDefault="006F25FD">
      <w:pPr>
        <w:spacing w:after="0"/>
        <w:rPr>
          <w:rFonts w:ascii="Verdana" w:eastAsiaTheme="majorEastAsia" w:hAnsi="Verdana" w:cstheme="majorBidi"/>
          <w:b/>
          <w:bCs/>
          <w:sz w:val="36"/>
          <w:szCs w:val="28"/>
        </w:rPr>
      </w:pPr>
      <w:bookmarkStart w:id="58" w:name="_Toc437598573"/>
      <w:bookmarkStart w:id="59" w:name="_Toc470000014"/>
      <w:r>
        <w:br w:type="page"/>
      </w:r>
    </w:p>
    <w:p w14:paraId="495720FE" w14:textId="77777777" w:rsidR="00BC77AA" w:rsidRDefault="0005049D" w:rsidP="00951257">
      <w:pPr>
        <w:pStyle w:val="Heading1"/>
        <w:keepLines/>
      </w:pPr>
      <w:bookmarkStart w:id="60" w:name="_Toc482357207"/>
      <w:r>
        <w:lastRenderedPageBreak/>
        <w:t xml:space="preserve">Possible </w:t>
      </w:r>
      <w:r w:rsidR="00455B91">
        <w:t>n</w:t>
      </w:r>
      <w:r w:rsidR="00BC77AA">
        <w:t xml:space="preserve">ext </w:t>
      </w:r>
      <w:r w:rsidR="00455B91">
        <w:t>s</w:t>
      </w:r>
      <w:r w:rsidR="00BC77AA">
        <w:t>teps</w:t>
      </w:r>
      <w:bookmarkEnd w:id="58"/>
      <w:bookmarkEnd w:id="59"/>
      <w:bookmarkEnd w:id="60"/>
    </w:p>
    <w:p w14:paraId="2E998D69" w14:textId="1D09499F" w:rsidR="00BC77AA" w:rsidRDefault="00BC77AA" w:rsidP="00BC77AA">
      <w:r>
        <w:t xml:space="preserve">The Government Implementation Cost </w:t>
      </w:r>
      <w:r w:rsidR="00FF031F">
        <w:t>Framework</w:t>
      </w:r>
      <w:r>
        <w:t xml:space="preserve"> is intended to undergo further development and refinement over time as information and data improves</w:t>
      </w:r>
      <w:r w:rsidR="00EE51E6">
        <w:t>,</w:t>
      </w:r>
      <w:r>
        <w:t xml:space="preserve"> and as experience </w:t>
      </w:r>
      <w:r w:rsidR="0067460E">
        <w:t xml:space="preserve">in </w:t>
      </w:r>
      <w:r>
        <w:t xml:space="preserve">using the </w:t>
      </w:r>
      <w:r w:rsidR="00FF031F">
        <w:t>framework</w:t>
      </w:r>
      <w:r w:rsidR="0067460E">
        <w:t xml:space="preserve"> is built</w:t>
      </w:r>
      <w:r w:rsidR="001B0055">
        <w:t>.</w:t>
      </w:r>
    </w:p>
    <w:p w14:paraId="53D2C684" w14:textId="4D8E7669" w:rsidR="00BC77AA" w:rsidRDefault="00146AFD" w:rsidP="00BC77AA">
      <w:r>
        <w:t>As the</w:t>
      </w:r>
      <w:r w:rsidR="00BC77AA">
        <w:t xml:space="preserve"> </w:t>
      </w:r>
      <w:r w:rsidR="00D97F19">
        <w:t>a</w:t>
      </w:r>
      <w:r w:rsidR="00FF031F">
        <w:t>gencies</w:t>
      </w:r>
      <w:r w:rsidR="00BC77AA">
        <w:t xml:space="preserve">’ data underpinning the </w:t>
      </w:r>
      <w:r w:rsidR="00D97F19">
        <w:t>c</w:t>
      </w:r>
      <w:r w:rsidR="00BC77AA">
        <w:t>osting tool</w:t>
      </w:r>
      <w:r>
        <w:t xml:space="preserve"> improve</w:t>
      </w:r>
      <w:r w:rsidR="0067460E">
        <w:t>s</w:t>
      </w:r>
      <w:r w:rsidR="00C31581">
        <w:t>,</w:t>
      </w:r>
      <w:r>
        <w:t xml:space="preserve"> i</w:t>
      </w:r>
      <w:r w:rsidR="00EE51E6">
        <w:t>t</w:t>
      </w:r>
      <w:r>
        <w:t xml:space="preserve"> should be possible to further</w:t>
      </w:r>
      <w:r w:rsidR="00BC77AA">
        <w:t xml:space="preserve"> refine the boundaries of the cost drivers. Improving the accuracy of the preliminary government implementation costs will reduce the reliance on the </w:t>
      </w:r>
      <w:r w:rsidR="00D97F19">
        <w:t>a</w:t>
      </w:r>
      <w:r w:rsidR="00FF031F">
        <w:t>gencies</w:t>
      </w:r>
      <w:r w:rsidR="00BC77AA">
        <w:t xml:space="preserve"> to justify how they expect their costs to deviate from </w:t>
      </w:r>
      <w:r w:rsidR="00013161">
        <w:t>the</w:t>
      </w:r>
      <w:r w:rsidR="00BC77AA">
        <w:t xml:space="preserve"> estimate during consultation. Some potential areas for further exploration include:</w:t>
      </w:r>
    </w:p>
    <w:p w14:paraId="581699D5" w14:textId="4FAE2795" w:rsidR="00BC77AA" w:rsidRDefault="00BC77AA" w:rsidP="00BC77AA">
      <w:pPr>
        <w:pStyle w:val="FSBullet1"/>
      </w:pPr>
      <w:r>
        <w:t>Real time activity tracking during the implementation lifecycle</w:t>
      </w:r>
      <w:r w:rsidR="00D97F19">
        <w:t>—</w:t>
      </w:r>
      <w:r>
        <w:t xml:space="preserve">providing a data collection tool to the </w:t>
      </w:r>
      <w:r w:rsidR="00D97F19">
        <w:t>a</w:t>
      </w:r>
      <w:r w:rsidR="00FF031F">
        <w:t>gencies</w:t>
      </w:r>
      <w:r>
        <w:t xml:space="preserve"> to track effort (staff time) for various activities during the implementation lifecycle.</w:t>
      </w:r>
    </w:p>
    <w:p w14:paraId="76185F16" w14:textId="6BAD6E13" w:rsidR="00BC77AA" w:rsidRDefault="0067460E" w:rsidP="00BC77AA">
      <w:pPr>
        <w:pStyle w:val="FSBullet1"/>
      </w:pPr>
      <w:r>
        <w:t>F</w:t>
      </w:r>
      <w:r w:rsidR="00BC77AA">
        <w:t xml:space="preserve">ee changes </w:t>
      </w:r>
      <w:r>
        <w:t xml:space="preserve">monitoring </w:t>
      </w:r>
      <w:r w:rsidR="00BC77AA">
        <w:t xml:space="preserve">during years of substantial implementation work for fully cost recovered </w:t>
      </w:r>
      <w:r w:rsidR="00D97F19">
        <w:t>a</w:t>
      </w:r>
      <w:r w:rsidR="00FF031F">
        <w:t>gencies</w:t>
      </w:r>
      <w:r w:rsidR="00BC77AA">
        <w:t xml:space="preserve">. </w:t>
      </w:r>
      <w:r w:rsidR="00802FE0">
        <w:t xml:space="preserve">This project </w:t>
      </w:r>
      <w:r w:rsidR="00BC77AA">
        <w:t>focused on ‘bottom-up’ or micro costing where underlying activities involved in implementation</w:t>
      </w:r>
      <w:r w:rsidR="00802FE0">
        <w:t xml:space="preserve"> were identified</w:t>
      </w:r>
      <w:r w:rsidR="00BC77AA">
        <w:t>. Another tactic may be to consider gross costing, such as identifying a year involving significant implementation work and considering the movement in fees charged by fully cost</w:t>
      </w:r>
      <w:r w:rsidR="00802FE0">
        <w:noBreakHyphen/>
      </w:r>
      <w:r w:rsidR="00BC77AA">
        <w:t xml:space="preserve">recovered </w:t>
      </w:r>
      <w:r w:rsidR="00D97F19">
        <w:t>a</w:t>
      </w:r>
      <w:r w:rsidR="00FF031F">
        <w:t>gencies</w:t>
      </w:r>
      <w:r w:rsidR="00BC77AA">
        <w:t>.</w:t>
      </w:r>
    </w:p>
    <w:p w14:paraId="2004BF9D" w14:textId="77777777" w:rsidR="00BC77AA" w:rsidRDefault="00BC77AA" w:rsidP="00BC77AA">
      <w:pPr>
        <w:pStyle w:val="FSBullet1"/>
      </w:pPr>
      <w:r>
        <w:t>Using expert elicitation to refine the cost estimates and further explore the boundaries of the cost drivers.</w:t>
      </w:r>
    </w:p>
    <w:p w14:paraId="71379DCF" w14:textId="39119D59" w:rsidR="00BC77AA" w:rsidRPr="00B21078" w:rsidRDefault="00BC77AA" w:rsidP="00BC77AA">
      <w:pPr>
        <w:pStyle w:val="FSBullet1"/>
      </w:pPr>
      <w:r>
        <w:t xml:space="preserve">Undertaking a comprehensive review process involving a </w:t>
      </w:r>
      <w:r w:rsidR="00D97F19">
        <w:br/>
      </w:r>
      <w:r>
        <w:t>pre-and post</w:t>
      </w:r>
      <w:r>
        <w:noBreakHyphen/>
        <w:t xml:space="preserve">implementation evaluation of the performance of the </w:t>
      </w:r>
      <w:r w:rsidR="00D97F19">
        <w:t>f</w:t>
      </w:r>
      <w:r w:rsidR="00FF031F">
        <w:t>ramework</w:t>
      </w:r>
      <w:r>
        <w:t>. The case studies highlighted that there is potential to have significant difference between estimated cost and those experienced. FSANZ will continue to evaluate case studies to help establish the reasonableness of assumption applied and make better use of sensitivity analysis where key assumptions are likely to be critical to the outcome of the analysis.</w:t>
      </w:r>
    </w:p>
    <w:p w14:paraId="7DADFBBE" w14:textId="77777777" w:rsidR="00BC77AA" w:rsidRPr="00D90D53" w:rsidRDefault="00BC77AA" w:rsidP="00951257">
      <w:pPr>
        <w:pStyle w:val="Heading1"/>
        <w:keepLines/>
      </w:pPr>
      <w:bookmarkStart w:id="61" w:name="_Toc437598574"/>
      <w:bookmarkStart w:id="62" w:name="_Toc470000015"/>
      <w:bookmarkStart w:id="63" w:name="_Toc482357208"/>
      <w:r w:rsidRPr="00D90D53">
        <w:t>Conclusions</w:t>
      </w:r>
      <w:bookmarkEnd w:id="61"/>
      <w:bookmarkEnd w:id="62"/>
      <w:bookmarkEnd w:id="63"/>
    </w:p>
    <w:p w14:paraId="169F9772" w14:textId="77777777" w:rsidR="00BC77AA" w:rsidRDefault="00BC77AA" w:rsidP="00BC77AA">
      <w:pPr>
        <w:keepLines/>
        <w:rPr>
          <w:rFonts w:cs="Arial"/>
        </w:rPr>
      </w:pPr>
      <w:r>
        <w:rPr>
          <w:rFonts w:cs="Arial"/>
        </w:rPr>
        <w:t xml:space="preserve">This project examined how changes to the Code affect the </w:t>
      </w:r>
      <w:r w:rsidR="00C31581">
        <w:rPr>
          <w:rFonts w:cs="Arial"/>
        </w:rPr>
        <w:t>jurisdictions</w:t>
      </w:r>
      <w:r>
        <w:rPr>
          <w:rFonts w:cs="Arial"/>
        </w:rPr>
        <w:t xml:space="preserve"> and how this could be quantified in FSANZ’s </w:t>
      </w:r>
      <w:r w:rsidR="002677D4">
        <w:rPr>
          <w:rFonts w:cs="Arial"/>
        </w:rPr>
        <w:t>CBA</w:t>
      </w:r>
      <w:r>
        <w:rPr>
          <w:rFonts w:cs="Arial"/>
        </w:rPr>
        <w:t>.</w:t>
      </w:r>
      <w:r w:rsidR="00BD185F">
        <w:rPr>
          <w:rFonts w:cs="Arial"/>
        </w:rPr>
        <w:t xml:space="preserve"> This has included a practical determination as to what costs should be included for an OBPR compliant CBA.</w:t>
      </w:r>
    </w:p>
    <w:p w14:paraId="0381A7CA" w14:textId="49ECD939" w:rsidR="00BC77AA" w:rsidRDefault="00BC77AA" w:rsidP="00BC77AA">
      <w:pPr>
        <w:keepLines/>
        <w:rPr>
          <w:rFonts w:cs="Arial"/>
        </w:rPr>
      </w:pPr>
      <w:r>
        <w:rPr>
          <w:rFonts w:cs="Arial"/>
        </w:rPr>
        <w:t>From this</w:t>
      </w:r>
      <w:r w:rsidR="002A58BE">
        <w:rPr>
          <w:rFonts w:cs="Arial"/>
        </w:rPr>
        <w:t>,</w:t>
      </w:r>
      <w:r>
        <w:rPr>
          <w:rFonts w:cs="Arial"/>
        </w:rPr>
        <w:t xml:space="preserve"> </w:t>
      </w:r>
      <w:r w:rsidR="00802FE0">
        <w:rPr>
          <w:rFonts w:cs="Arial"/>
        </w:rPr>
        <w:t>the</w:t>
      </w:r>
      <w:r>
        <w:rPr>
          <w:rFonts w:cs="Arial"/>
        </w:rPr>
        <w:t xml:space="preserve"> Government Implementation Cost </w:t>
      </w:r>
      <w:r w:rsidR="00FF031F">
        <w:rPr>
          <w:rFonts w:cs="Arial"/>
        </w:rPr>
        <w:t>Framework</w:t>
      </w:r>
      <w:r>
        <w:rPr>
          <w:rFonts w:cs="Arial"/>
        </w:rPr>
        <w:t xml:space="preserve"> </w:t>
      </w:r>
      <w:r w:rsidR="00802FE0">
        <w:rPr>
          <w:rFonts w:cs="Arial"/>
        </w:rPr>
        <w:t xml:space="preserve">has been developed and </w:t>
      </w:r>
      <w:r>
        <w:rPr>
          <w:rFonts w:cs="Arial"/>
        </w:rPr>
        <w:t>includes:</w:t>
      </w:r>
    </w:p>
    <w:p w14:paraId="200EACC7" w14:textId="1874A639" w:rsidR="00BC77AA" w:rsidRDefault="00045292" w:rsidP="00BC77AA">
      <w:pPr>
        <w:pStyle w:val="FSBullet1"/>
      </w:pPr>
      <w:r>
        <w:t>a</w:t>
      </w:r>
      <w:r w:rsidR="009B3A5E">
        <w:t xml:space="preserve"> </w:t>
      </w:r>
      <w:r w:rsidR="00D97F19">
        <w:t>m</w:t>
      </w:r>
      <w:r w:rsidR="00146AFD">
        <w:t>ateriality</w:t>
      </w:r>
      <w:r w:rsidR="00BC77AA">
        <w:t xml:space="preserve"> tool for </w:t>
      </w:r>
      <w:r w:rsidR="009B3A5E">
        <w:t xml:space="preserve">indicating </w:t>
      </w:r>
      <w:r w:rsidR="00BC77AA">
        <w:t xml:space="preserve">when government costs will be material in FSANZ’s </w:t>
      </w:r>
      <w:r w:rsidR="00FF0872">
        <w:t>CBA</w:t>
      </w:r>
    </w:p>
    <w:p w14:paraId="6E071134" w14:textId="1695051F" w:rsidR="00BC77AA" w:rsidRDefault="00455B91" w:rsidP="00BC77AA">
      <w:pPr>
        <w:pStyle w:val="FSBullet1"/>
      </w:pPr>
      <w:r>
        <w:t>a</w:t>
      </w:r>
      <w:r w:rsidR="00BC77AA">
        <w:t xml:space="preserve"> </w:t>
      </w:r>
      <w:r w:rsidR="00D97F19">
        <w:t xml:space="preserve">costing </w:t>
      </w:r>
      <w:r w:rsidR="00BC77AA">
        <w:t xml:space="preserve">tool for assessing and quantifying the </w:t>
      </w:r>
      <w:r w:rsidR="00971431">
        <w:t>jurisdictions</w:t>
      </w:r>
      <w:r w:rsidR="00BC77AA">
        <w:t>’ implementation costs associated with changes to the Code</w:t>
      </w:r>
      <w:r w:rsidR="00802FE0">
        <w:t>.</w:t>
      </w:r>
    </w:p>
    <w:p w14:paraId="202BD999" w14:textId="77777777" w:rsidR="00BC77AA" w:rsidRDefault="00BC77AA" w:rsidP="00BC77AA">
      <w:pPr>
        <w:rPr>
          <w:rFonts w:cs="Arial"/>
        </w:rPr>
      </w:pPr>
      <w:r>
        <w:rPr>
          <w:rFonts w:cs="Arial"/>
        </w:rPr>
        <w:t xml:space="preserve">The </w:t>
      </w:r>
      <w:r w:rsidR="007C6AAE">
        <w:rPr>
          <w:rFonts w:cs="Arial"/>
        </w:rPr>
        <w:t>jurisdictions</w:t>
      </w:r>
      <w:r>
        <w:rPr>
          <w:rFonts w:cs="Arial"/>
        </w:rPr>
        <w:t>’ cost of</w:t>
      </w:r>
      <w:r w:rsidRPr="00D34ECE">
        <w:rPr>
          <w:rFonts w:cs="Arial"/>
        </w:rPr>
        <w:t xml:space="preserve"> introduc</w:t>
      </w:r>
      <w:r>
        <w:rPr>
          <w:rFonts w:cs="Arial"/>
        </w:rPr>
        <w:t xml:space="preserve">ing changes to the Code </w:t>
      </w:r>
      <w:r w:rsidRPr="00D34ECE">
        <w:rPr>
          <w:rFonts w:cs="Arial"/>
        </w:rPr>
        <w:t xml:space="preserve">into their </w:t>
      </w:r>
      <w:r>
        <w:rPr>
          <w:rFonts w:cs="Arial"/>
        </w:rPr>
        <w:t xml:space="preserve">food regulatory system may be a significant component in the </w:t>
      </w:r>
      <w:r w:rsidR="007C6AAE">
        <w:rPr>
          <w:rFonts w:cs="Arial"/>
        </w:rPr>
        <w:t>CBA</w:t>
      </w:r>
      <w:r>
        <w:rPr>
          <w:rFonts w:cs="Arial"/>
        </w:rPr>
        <w:t xml:space="preserve"> that FSANZ undertakes to assess potential changes to the Code.</w:t>
      </w:r>
    </w:p>
    <w:p w14:paraId="4D479707" w14:textId="7EB0C3E6" w:rsidR="00BC77AA" w:rsidRPr="00D90D53" w:rsidRDefault="00BC77AA" w:rsidP="00BC77AA">
      <w:r>
        <w:t xml:space="preserve">There are inherent differences between the jurisdictions such as the composition of the food industry and existing state regulations that will cause the implementation cost to vary between </w:t>
      </w:r>
      <w:r w:rsidR="00A12046">
        <w:t>jurisdiction</w:t>
      </w:r>
      <w:r w:rsidR="0067460E">
        <w:t>s</w:t>
      </w:r>
      <w:r>
        <w:t xml:space="preserve">. This </w:t>
      </w:r>
      <w:r w:rsidR="00D97F19">
        <w:t>f</w:t>
      </w:r>
      <w:r w:rsidR="00FF031F">
        <w:t>ramework</w:t>
      </w:r>
      <w:r>
        <w:t xml:space="preserve"> enables relevant costs to be identified and collected to facilitate </w:t>
      </w:r>
      <w:r w:rsidR="00802FE0">
        <w:t>CBA</w:t>
      </w:r>
      <w:r>
        <w:t>.</w:t>
      </w:r>
    </w:p>
    <w:p w14:paraId="4E79B638" w14:textId="79CFDCE1" w:rsidR="00BC77AA" w:rsidRDefault="00BC77AA" w:rsidP="00BC77AA">
      <w:r>
        <w:t xml:space="preserve">This </w:t>
      </w:r>
      <w:r w:rsidR="00D97F19">
        <w:t>f</w:t>
      </w:r>
      <w:r w:rsidR="00FF031F">
        <w:t>ramework</w:t>
      </w:r>
      <w:r>
        <w:t xml:space="preserve"> will</w:t>
      </w:r>
      <w:r w:rsidRPr="00342364">
        <w:t xml:space="preserve"> improve</w:t>
      </w:r>
      <w:r>
        <w:t xml:space="preserve"> the</w:t>
      </w:r>
      <w:r w:rsidRPr="00342364">
        <w:t xml:space="preserve"> transparency, timeliness and quality of </w:t>
      </w:r>
      <w:r w:rsidR="00B0629C">
        <w:t>FSANZ CBA</w:t>
      </w:r>
      <w:r w:rsidRPr="00342364">
        <w:t xml:space="preserve"> work allowing for more informed decisions </w:t>
      </w:r>
      <w:r>
        <w:t>w</w:t>
      </w:r>
      <w:r w:rsidRPr="00342364">
        <w:t>hen determining the appropriateness o</w:t>
      </w:r>
      <w:r>
        <w:t>f changing the Code.</w:t>
      </w:r>
    </w:p>
    <w:p w14:paraId="2E50518B" w14:textId="77777777" w:rsidR="00A94CAE" w:rsidRPr="0025714A" w:rsidRDefault="008525B4" w:rsidP="00A94CAE">
      <w:pPr>
        <w:pStyle w:val="Heading1"/>
      </w:pPr>
      <w:bookmarkStart w:id="64" w:name="_Toc470000016"/>
      <w:bookmarkStart w:id="65" w:name="_Toc482357209"/>
      <w:r>
        <w:rPr>
          <w:lang w:eastAsia="en-AU"/>
        </w:rPr>
        <w:lastRenderedPageBreak/>
        <w:t xml:space="preserve">Appendix 1 – </w:t>
      </w:r>
      <w:r w:rsidR="00A94CAE" w:rsidRPr="0025714A">
        <w:t>Components of the cost</w:t>
      </w:r>
      <w:r w:rsidR="0021607F">
        <w:noBreakHyphen/>
      </w:r>
      <w:r w:rsidR="00A94CAE" w:rsidRPr="0025714A">
        <w:t>benefit analysis</w:t>
      </w:r>
      <w:bookmarkEnd w:id="64"/>
      <w:bookmarkEnd w:id="65"/>
    </w:p>
    <w:p w14:paraId="5A551B1C" w14:textId="77777777" w:rsidR="00A94CAE" w:rsidRPr="001073E9" w:rsidRDefault="00A94CAE" w:rsidP="00A94CAE">
      <w:pPr>
        <w:rPr>
          <w:lang w:val="en-GB" w:eastAsia="en-AU"/>
        </w:rPr>
      </w:pPr>
      <w:r>
        <w:rPr>
          <w:lang w:val="en-GB" w:eastAsia="en-AU"/>
        </w:rPr>
        <w:t>FSANZ</w:t>
      </w:r>
      <w:r w:rsidR="00657D35">
        <w:rPr>
          <w:lang w:val="en-GB" w:eastAsia="en-AU"/>
        </w:rPr>
        <w:t xml:space="preserve"> undertakes the following steps</w:t>
      </w:r>
      <w:r>
        <w:rPr>
          <w:lang w:val="en-GB" w:eastAsia="en-AU"/>
        </w:rPr>
        <w:t xml:space="preserve"> in order to meet COAG RIS requirements</w:t>
      </w:r>
      <w:r w:rsidDel="00CA0C0E">
        <w:rPr>
          <w:lang w:val="en-GB" w:eastAsia="en-AU"/>
        </w:rPr>
        <w:t xml:space="preserve"> </w:t>
      </w:r>
      <w:r>
        <w:rPr>
          <w:lang w:val="en-GB" w:eastAsia="en-AU"/>
        </w:rPr>
        <w:t xml:space="preserve">as </w:t>
      </w:r>
      <w:r w:rsidR="001C69F5">
        <w:rPr>
          <w:lang w:val="en-GB" w:eastAsia="en-AU"/>
        </w:rPr>
        <w:t>set out</w:t>
      </w:r>
      <w:r>
        <w:rPr>
          <w:lang w:val="en-GB" w:eastAsia="en-AU"/>
        </w:rPr>
        <w:t xml:space="preserve"> in the below diagram.</w:t>
      </w:r>
    </w:p>
    <w:p w14:paraId="0DFDE44E" w14:textId="3659A25E" w:rsidR="00A94CAE" w:rsidRPr="0025714A" w:rsidRDefault="00844325" w:rsidP="00A94CAE">
      <w:pPr>
        <w:spacing w:after="0"/>
        <w:rPr>
          <w:lang w:eastAsia="en-AU"/>
        </w:rPr>
      </w:pPr>
      <w:r>
        <w:rPr>
          <w:noProof/>
          <w:lang w:val="en-GB" w:eastAsia="en-GB"/>
        </w:rPr>
        <w:drawing>
          <wp:inline distT="0" distB="0" distL="0" distR="0" wp14:anchorId="58C20E2A" wp14:editId="31AA97C2">
            <wp:extent cx="5618073" cy="6825081"/>
            <wp:effectExtent l="0" t="0" r="1905" b="0"/>
            <wp:docPr id="8" name="Picture 8" descr="This flow chart outlines the seven steps of regulatory analysis" title="Figure 8: Key steps in the FSANZ RIS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619750" cy="6827119"/>
                    </a:xfrm>
                    <a:prstGeom prst="rect">
                      <a:avLst/>
                    </a:prstGeom>
                  </pic:spPr>
                </pic:pic>
              </a:graphicData>
            </a:graphic>
          </wp:inline>
        </w:drawing>
      </w:r>
    </w:p>
    <w:p w14:paraId="1D2F03AD" w14:textId="77777777" w:rsidR="00F427C8" w:rsidRPr="00F427C8" w:rsidRDefault="00F427C8" w:rsidP="00F427C8">
      <w:pPr>
        <w:pStyle w:val="FSCaption"/>
        <w:rPr>
          <w:sz w:val="22"/>
          <w:lang w:eastAsia="en-AU"/>
        </w:rPr>
      </w:pPr>
      <w:r w:rsidRPr="00F427C8">
        <w:rPr>
          <w:sz w:val="22"/>
          <w:lang w:eastAsia="en-AU"/>
        </w:rPr>
        <w:t xml:space="preserve">Figure </w:t>
      </w:r>
      <w:r w:rsidR="00835385">
        <w:rPr>
          <w:sz w:val="22"/>
          <w:lang w:eastAsia="en-AU"/>
        </w:rPr>
        <w:t>8</w:t>
      </w:r>
      <w:r w:rsidRPr="00F427C8">
        <w:rPr>
          <w:sz w:val="22"/>
          <w:lang w:eastAsia="en-AU"/>
        </w:rPr>
        <w:t>. Key steps in the FSANZ RIS process</w:t>
      </w:r>
    </w:p>
    <w:p w14:paraId="2FACB3CE" w14:textId="77777777" w:rsidR="00A94CAE" w:rsidRPr="0025714A" w:rsidRDefault="00A94CAE" w:rsidP="00A94CAE">
      <w:pPr>
        <w:rPr>
          <w:lang w:val="en-GB" w:eastAsia="en-AU"/>
        </w:rPr>
      </w:pPr>
      <w:r w:rsidRPr="007A2564">
        <w:rPr>
          <w:lang w:val="en-GB" w:eastAsia="en-AU"/>
        </w:rPr>
        <w:t xml:space="preserve">This </w:t>
      </w:r>
      <w:r>
        <w:rPr>
          <w:lang w:val="en-GB" w:eastAsia="en-AU"/>
        </w:rPr>
        <w:t xml:space="preserve">process </w:t>
      </w:r>
      <w:r w:rsidRPr="007A2564">
        <w:rPr>
          <w:lang w:val="en-GB" w:eastAsia="en-AU"/>
        </w:rPr>
        <w:t xml:space="preserve">requires that all the major costs and benefits of </w:t>
      </w:r>
      <w:r w:rsidR="00657D35">
        <w:rPr>
          <w:lang w:val="en-GB" w:eastAsia="en-AU"/>
        </w:rPr>
        <w:t>the feasible options being considered</w:t>
      </w:r>
      <w:r w:rsidRPr="007A2564">
        <w:rPr>
          <w:lang w:val="en-GB" w:eastAsia="en-AU"/>
        </w:rPr>
        <w:t xml:space="preserve"> be quantified in monetary terms</w:t>
      </w:r>
      <w:r w:rsidR="00657D35">
        <w:rPr>
          <w:lang w:val="en-GB" w:eastAsia="en-AU"/>
        </w:rPr>
        <w:t xml:space="preserve"> where possible</w:t>
      </w:r>
      <w:r w:rsidRPr="007A2564">
        <w:rPr>
          <w:lang w:val="en-GB" w:eastAsia="en-AU"/>
        </w:rPr>
        <w:t>. In this way, the outcomes of a range of options are translated into comparable terms in order to facilitate</w:t>
      </w:r>
      <w:r w:rsidR="00657D35">
        <w:rPr>
          <w:lang w:val="en-GB" w:eastAsia="en-AU"/>
        </w:rPr>
        <w:t xml:space="preserve">, comparison, </w:t>
      </w:r>
      <w:r w:rsidRPr="007A2564">
        <w:rPr>
          <w:lang w:val="en-GB" w:eastAsia="en-AU"/>
        </w:rPr>
        <w:t xml:space="preserve"> evaluation and decision-making.</w:t>
      </w:r>
    </w:p>
    <w:p w14:paraId="0F7AA2E8" w14:textId="27B6C8F1" w:rsidR="00A94CAE" w:rsidRPr="00B31272" w:rsidRDefault="00A94CAE" w:rsidP="00A94CAE">
      <w:pPr>
        <w:rPr>
          <w:lang w:val="en-GB" w:eastAsia="en-AU"/>
        </w:rPr>
      </w:pPr>
      <w:r>
        <w:rPr>
          <w:lang w:val="en-GB" w:eastAsia="en-AU"/>
        </w:rPr>
        <w:lastRenderedPageBreak/>
        <w:t>The status quo</w:t>
      </w:r>
      <w:r w:rsidR="00657D35">
        <w:rPr>
          <w:lang w:val="en-GB" w:eastAsia="en-AU"/>
        </w:rPr>
        <w:t xml:space="preserve"> or ‘do nothing’ option</w:t>
      </w:r>
      <w:r>
        <w:rPr>
          <w:lang w:val="en-GB" w:eastAsia="en-AU"/>
        </w:rPr>
        <w:t xml:space="preserve"> is always included as the baseline option </w:t>
      </w:r>
      <w:r w:rsidR="00657D35">
        <w:rPr>
          <w:lang w:val="en-GB" w:eastAsia="en-AU"/>
        </w:rPr>
        <w:t>to compare the other options against</w:t>
      </w:r>
      <w:r>
        <w:rPr>
          <w:lang w:val="en-GB" w:eastAsia="en-AU"/>
        </w:rPr>
        <w:t>.</w:t>
      </w:r>
    </w:p>
    <w:p w14:paraId="6EC8532E" w14:textId="77777777" w:rsidR="00A94CAE" w:rsidRPr="0025714A" w:rsidRDefault="00A94CAE" w:rsidP="00A94CAE">
      <w:pPr>
        <w:keepNext/>
        <w:rPr>
          <w:lang w:eastAsia="en-AU"/>
        </w:rPr>
      </w:pPr>
      <w:r w:rsidRPr="0025714A">
        <w:rPr>
          <w:lang w:eastAsia="en-AU"/>
        </w:rPr>
        <w:t xml:space="preserve">There are three main segments of </w:t>
      </w:r>
      <w:r>
        <w:rPr>
          <w:lang w:eastAsia="en-AU"/>
        </w:rPr>
        <w:t xml:space="preserve">the community </w:t>
      </w:r>
      <w:r w:rsidRPr="0025714A">
        <w:rPr>
          <w:lang w:eastAsia="en-AU"/>
        </w:rPr>
        <w:t xml:space="preserve">that FSANZ considers in </w:t>
      </w:r>
      <w:r w:rsidR="00657D35">
        <w:rPr>
          <w:lang w:eastAsia="en-AU"/>
        </w:rPr>
        <w:t xml:space="preserve">a </w:t>
      </w:r>
      <w:r w:rsidRPr="0025714A">
        <w:rPr>
          <w:lang w:eastAsia="en-AU"/>
        </w:rPr>
        <w:t>CBA:</w:t>
      </w:r>
    </w:p>
    <w:p w14:paraId="162BEEB2" w14:textId="77777777" w:rsidR="00A94CAE" w:rsidRPr="0025714A" w:rsidRDefault="00A94CAE" w:rsidP="000C52C6">
      <w:pPr>
        <w:pStyle w:val="FSBullet1"/>
        <w:numPr>
          <w:ilvl w:val="0"/>
          <w:numId w:val="30"/>
        </w:numPr>
        <w:rPr>
          <w:lang w:eastAsia="en-AU"/>
        </w:rPr>
      </w:pPr>
      <w:r w:rsidRPr="00F427C8">
        <w:rPr>
          <w:i/>
          <w:lang w:eastAsia="en-AU"/>
        </w:rPr>
        <w:t>Consumers</w:t>
      </w:r>
      <w:r w:rsidR="0067460E" w:rsidRPr="00F427C8">
        <w:rPr>
          <w:i/>
          <w:lang w:eastAsia="en-AU"/>
        </w:rPr>
        <w:t>,</w:t>
      </w:r>
      <w:r w:rsidRPr="00F427C8">
        <w:rPr>
          <w:i/>
          <w:lang w:eastAsia="en-AU"/>
        </w:rPr>
        <w:t xml:space="preserve"> or the community in general.</w:t>
      </w:r>
      <w:r w:rsidRPr="0025714A">
        <w:rPr>
          <w:lang w:eastAsia="en-AU"/>
        </w:rPr>
        <w:t xml:space="preserve"> </w:t>
      </w:r>
      <w:r>
        <w:rPr>
          <w:lang w:eastAsia="en-AU"/>
        </w:rPr>
        <w:t>A</w:t>
      </w:r>
      <w:r w:rsidRPr="0025714A">
        <w:rPr>
          <w:lang w:eastAsia="en-AU"/>
        </w:rPr>
        <w:t>ll people in Australia and New Zealand consume food products and thus may be affected by changes to the Code, such as through a reduction in the products available</w:t>
      </w:r>
      <w:r w:rsidR="00146AFD">
        <w:rPr>
          <w:lang w:eastAsia="en-AU"/>
        </w:rPr>
        <w:t xml:space="preserve">, </w:t>
      </w:r>
      <w:r w:rsidRPr="0025714A">
        <w:rPr>
          <w:lang w:eastAsia="en-AU"/>
        </w:rPr>
        <w:t>increased food costs from food businesses passing higher regulation costs onto consumers</w:t>
      </w:r>
      <w:r w:rsidR="00146AFD">
        <w:rPr>
          <w:lang w:eastAsia="en-AU"/>
        </w:rPr>
        <w:t xml:space="preserve"> or increased safety of the food they eat</w:t>
      </w:r>
      <w:r w:rsidRPr="0025714A">
        <w:rPr>
          <w:lang w:eastAsia="en-AU"/>
        </w:rPr>
        <w:t>.</w:t>
      </w:r>
    </w:p>
    <w:p w14:paraId="2E70D431" w14:textId="2A478265" w:rsidR="00A94CAE" w:rsidRPr="0025714A" w:rsidRDefault="00A94CAE" w:rsidP="000C52C6">
      <w:pPr>
        <w:pStyle w:val="FSBullet1"/>
        <w:numPr>
          <w:ilvl w:val="0"/>
          <w:numId w:val="30"/>
        </w:numPr>
        <w:rPr>
          <w:lang w:eastAsia="en-AU"/>
        </w:rPr>
      </w:pPr>
      <w:r w:rsidRPr="00F427C8">
        <w:rPr>
          <w:i/>
          <w:lang w:eastAsia="en-AU"/>
        </w:rPr>
        <w:t>Industry.</w:t>
      </w:r>
      <w:r w:rsidRPr="0025714A">
        <w:rPr>
          <w:lang w:eastAsia="en-AU"/>
        </w:rPr>
        <w:t xml:space="preserve"> Food production businesses may be affected by changes to the Code, for example through higher compliance costs from increase</w:t>
      </w:r>
      <w:r w:rsidR="00331C49">
        <w:rPr>
          <w:lang w:eastAsia="en-AU"/>
        </w:rPr>
        <w:t>d</w:t>
      </w:r>
      <w:r w:rsidRPr="0025714A">
        <w:rPr>
          <w:lang w:eastAsia="en-AU"/>
        </w:rPr>
        <w:t xml:space="preserve"> microbiological testing or more stringent record keeping requirements.</w:t>
      </w:r>
    </w:p>
    <w:p w14:paraId="3989381D" w14:textId="31283A15" w:rsidR="00A94CAE" w:rsidRPr="0025714A" w:rsidRDefault="00331C49" w:rsidP="000C52C6">
      <w:pPr>
        <w:pStyle w:val="FSBullet1"/>
        <w:numPr>
          <w:ilvl w:val="0"/>
          <w:numId w:val="30"/>
        </w:numPr>
        <w:rPr>
          <w:lang w:eastAsia="en-AU"/>
        </w:rPr>
      </w:pPr>
      <w:r>
        <w:rPr>
          <w:i/>
          <w:lang w:eastAsia="en-AU"/>
        </w:rPr>
        <w:t>G</w:t>
      </w:r>
      <w:r w:rsidR="00A94CAE" w:rsidRPr="00F427C8">
        <w:rPr>
          <w:i/>
          <w:lang w:eastAsia="en-AU"/>
        </w:rPr>
        <w:t xml:space="preserve">overnment </w:t>
      </w:r>
      <w:r w:rsidR="00FF031F">
        <w:rPr>
          <w:i/>
          <w:lang w:eastAsia="en-AU"/>
        </w:rPr>
        <w:t>agencies</w:t>
      </w:r>
      <w:r w:rsidR="00A94CAE" w:rsidRPr="00F427C8">
        <w:rPr>
          <w:i/>
          <w:lang w:eastAsia="en-AU"/>
        </w:rPr>
        <w:t>.</w:t>
      </w:r>
      <w:r w:rsidR="00A94CAE" w:rsidRPr="0025714A">
        <w:rPr>
          <w:lang w:eastAsia="en-AU"/>
        </w:rPr>
        <w:t xml:space="preserve"> FSANZ works in partnership with the </w:t>
      </w:r>
      <w:r w:rsidR="00A94CAE">
        <w:rPr>
          <w:lang w:eastAsia="en-AU"/>
        </w:rPr>
        <w:t xml:space="preserve">jurisdictions’ </w:t>
      </w:r>
      <w:r w:rsidR="00D97F19">
        <w:rPr>
          <w:lang w:eastAsia="en-AU"/>
        </w:rPr>
        <w:t>a</w:t>
      </w:r>
      <w:r w:rsidR="00FF031F">
        <w:rPr>
          <w:lang w:eastAsia="en-AU"/>
        </w:rPr>
        <w:t>gencies</w:t>
      </w:r>
      <w:r w:rsidR="00A94CAE" w:rsidRPr="0025714A">
        <w:rPr>
          <w:lang w:eastAsia="en-AU"/>
        </w:rPr>
        <w:t xml:space="preserve"> to ensure an effective food regulatory system. Changes to the Code </w:t>
      </w:r>
      <w:r w:rsidR="00C3202E">
        <w:rPr>
          <w:lang w:eastAsia="en-AU"/>
        </w:rPr>
        <w:t xml:space="preserve">may affect </w:t>
      </w:r>
      <w:r w:rsidR="00D97F19">
        <w:rPr>
          <w:lang w:eastAsia="en-AU"/>
        </w:rPr>
        <w:t>a</w:t>
      </w:r>
      <w:r w:rsidR="00FF031F">
        <w:rPr>
          <w:lang w:eastAsia="en-AU"/>
        </w:rPr>
        <w:t>gencies</w:t>
      </w:r>
      <w:r w:rsidR="00C3202E">
        <w:rPr>
          <w:lang w:eastAsia="en-AU"/>
        </w:rPr>
        <w:t xml:space="preserve"> as they </w:t>
      </w:r>
      <w:r w:rsidR="00A94CAE" w:rsidRPr="0025714A">
        <w:rPr>
          <w:lang w:eastAsia="en-AU"/>
        </w:rPr>
        <w:t>implement</w:t>
      </w:r>
      <w:r w:rsidR="00C3202E">
        <w:rPr>
          <w:lang w:eastAsia="en-AU"/>
        </w:rPr>
        <w:t xml:space="preserve"> the changes into their food regulatory system</w:t>
      </w:r>
      <w:r w:rsidR="00A94CAE">
        <w:rPr>
          <w:lang w:eastAsia="en-AU"/>
        </w:rPr>
        <w:t>.</w:t>
      </w:r>
    </w:p>
    <w:p w14:paraId="603A81FB" w14:textId="77777777" w:rsidR="00A94CAE" w:rsidRDefault="00A94CAE" w:rsidP="00A94CAE">
      <w:pPr>
        <w:rPr>
          <w:lang w:eastAsia="en-AU"/>
        </w:rPr>
      </w:pPr>
      <w:r w:rsidRPr="0025714A">
        <w:rPr>
          <w:lang w:eastAsia="en-AU"/>
        </w:rPr>
        <w:t>The costs and benefits associated with a change to the Code are estimated for each of the segments identified above. The costs</w:t>
      </w:r>
      <w:r w:rsidR="00331C49">
        <w:rPr>
          <w:lang w:eastAsia="en-AU"/>
        </w:rPr>
        <w:t xml:space="preserve"> and benefits</w:t>
      </w:r>
      <w:r w:rsidRPr="0025714A">
        <w:rPr>
          <w:lang w:eastAsia="en-AU"/>
        </w:rPr>
        <w:t xml:space="preserve"> are</w:t>
      </w:r>
      <w:r w:rsidR="00331C49">
        <w:rPr>
          <w:lang w:eastAsia="en-AU"/>
        </w:rPr>
        <w:t xml:space="preserve"> typically</w:t>
      </w:r>
      <w:r w:rsidRPr="0025714A">
        <w:rPr>
          <w:lang w:eastAsia="en-AU"/>
        </w:rPr>
        <w:t xml:space="preserve"> considered over a </w:t>
      </w:r>
      <w:r w:rsidR="0067460E" w:rsidRPr="0025714A">
        <w:rPr>
          <w:lang w:eastAsia="en-AU"/>
        </w:rPr>
        <w:t>ten-year</w:t>
      </w:r>
      <w:r w:rsidRPr="0025714A">
        <w:rPr>
          <w:lang w:eastAsia="en-AU"/>
        </w:rPr>
        <w:t xml:space="preserve"> period. </w:t>
      </w:r>
      <w:r>
        <w:rPr>
          <w:lang w:eastAsia="en-AU"/>
        </w:rPr>
        <w:t>By considering how different community subgroups are affected over ten years, the major phases of implementing new regulation are able to be included in the CBA</w:t>
      </w:r>
      <w:r w:rsidR="00331C49">
        <w:rPr>
          <w:lang w:eastAsia="en-AU"/>
        </w:rPr>
        <w:t>.  These include</w:t>
      </w:r>
      <w:r>
        <w:rPr>
          <w:lang w:eastAsia="en-AU"/>
        </w:rPr>
        <w:t>:</w:t>
      </w:r>
    </w:p>
    <w:p w14:paraId="3F996508" w14:textId="77777777" w:rsidR="00A94CAE" w:rsidRDefault="00455B91" w:rsidP="000C52C6">
      <w:pPr>
        <w:pStyle w:val="FSBullet1"/>
        <w:rPr>
          <w:lang w:eastAsia="en-AU"/>
        </w:rPr>
      </w:pPr>
      <w:r>
        <w:rPr>
          <w:lang w:eastAsia="en-AU"/>
        </w:rPr>
        <w:t>i</w:t>
      </w:r>
      <w:r w:rsidR="00A94CAE">
        <w:rPr>
          <w:lang w:eastAsia="en-AU"/>
        </w:rPr>
        <w:t>mplementation strategy or detailed planning of the rollout of the new regulation</w:t>
      </w:r>
    </w:p>
    <w:p w14:paraId="7AC5BE7E" w14:textId="77777777" w:rsidR="00A94CAE" w:rsidRDefault="001167EE" w:rsidP="000C52C6">
      <w:pPr>
        <w:pStyle w:val="FSBullet1"/>
        <w:rPr>
          <w:lang w:eastAsia="en-AU"/>
        </w:rPr>
      </w:pPr>
      <w:r>
        <w:rPr>
          <w:lang w:eastAsia="en-AU"/>
        </w:rPr>
        <w:t>r</w:t>
      </w:r>
      <w:r w:rsidR="00A94CAE">
        <w:rPr>
          <w:lang w:eastAsia="en-AU"/>
        </w:rPr>
        <w:t>ollout or physical implementation</w:t>
      </w:r>
    </w:p>
    <w:p w14:paraId="0F29D8C5" w14:textId="2541BF70" w:rsidR="00A94CAE" w:rsidRDefault="00455B91" w:rsidP="000C52C6">
      <w:pPr>
        <w:pStyle w:val="FSBullet1"/>
        <w:rPr>
          <w:lang w:eastAsia="en-AU"/>
        </w:rPr>
      </w:pPr>
      <w:r>
        <w:rPr>
          <w:lang w:eastAsia="en-AU"/>
        </w:rPr>
        <w:t>h</w:t>
      </w:r>
      <w:r w:rsidR="00A94CAE">
        <w:rPr>
          <w:lang w:eastAsia="en-AU"/>
        </w:rPr>
        <w:t>and-over to ongoing operations or the ongoing administration of the regulation</w:t>
      </w:r>
      <w:r w:rsidR="00D97F19">
        <w:rPr>
          <w:lang w:eastAsia="en-AU"/>
        </w:rPr>
        <w:t>.</w:t>
      </w:r>
    </w:p>
    <w:p w14:paraId="536DADBF" w14:textId="77777777" w:rsidR="00A94CAE" w:rsidRPr="0025714A" w:rsidRDefault="00A94CAE" w:rsidP="00A94CAE">
      <w:pPr>
        <w:rPr>
          <w:lang w:eastAsia="en-AU"/>
        </w:rPr>
      </w:pPr>
      <w:r w:rsidRPr="0025714A">
        <w:rPr>
          <w:lang w:eastAsia="en-AU"/>
        </w:rPr>
        <w:t>In order to combine the net costs from each of the years to arri</w:t>
      </w:r>
      <w:r>
        <w:rPr>
          <w:lang w:eastAsia="en-AU"/>
        </w:rPr>
        <w:t>ve at a single net cost figure,</w:t>
      </w:r>
      <w:r w:rsidRPr="0025714A">
        <w:rPr>
          <w:lang w:eastAsia="en-AU"/>
        </w:rPr>
        <w:t xml:space="preserve"> the net costs are converted to the net present value. This is done in order to take the time value of money into account. The net costs from future years are discounted by 7% per year</w:t>
      </w:r>
      <w:r>
        <w:rPr>
          <w:lang w:eastAsia="en-AU"/>
        </w:rPr>
        <w:t xml:space="preserve"> and then totalled</w:t>
      </w:r>
      <w:r>
        <w:rPr>
          <w:rStyle w:val="FootnoteReference"/>
          <w:lang w:eastAsia="en-AU"/>
        </w:rPr>
        <w:footnoteReference w:id="7"/>
      </w:r>
      <w:r w:rsidRPr="0025714A">
        <w:rPr>
          <w:lang w:eastAsia="en-AU"/>
        </w:rPr>
        <w:t xml:space="preserve">. This gives the current worth of the total costs and benefits that arise from the regulatory change over a </w:t>
      </w:r>
      <w:r w:rsidR="0067460E" w:rsidRPr="0025714A">
        <w:rPr>
          <w:lang w:eastAsia="en-AU"/>
        </w:rPr>
        <w:t>ten-year</w:t>
      </w:r>
      <w:r w:rsidRPr="0025714A">
        <w:rPr>
          <w:lang w:eastAsia="en-AU"/>
        </w:rPr>
        <w:t xml:space="preserve"> period.</w:t>
      </w:r>
      <w:r>
        <w:rPr>
          <w:lang w:eastAsia="en-AU"/>
        </w:rPr>
        <w:t xml:space="preserve"> If the net present value is clearly positive (after uncertainties in the cost estimates have been accounted for) then it is expected that there will be an overall benefit to the Australian and New Zealand communities.</w:t>
      </w:r>
    </w:p>
    <w:p w14:paraId="31AF4A5C" w14:textId="77777777" w:rsidR="00A94CAE" w:rsidRDefault="00A94CAE" w:rsidP="00A94CAE">
      <w:pPr>
        <w:rPr>
          <w:lang w:eastAsia="en-AU"/>
        </w:rPr>
      </w:pPr>
      <w:r>
        <w:rPr>
          <w:lang w:eastAsia="en-AU"/>
        </w:rPr>
        <w:t>The costs and benefits to all community subgroups are added without regard to the individuals to whom they accrue. A $1 gain to one person cancels a $1 loss to another. This ‘a dollar is a dollar’ assumption enables resource allocations to be separated from distributional effects for the purpose of CBA.</w:t>
      </w:r>
      <w:r>
        <w:rPr>
          <w:rStyle w:val="FootnoteReference"/>
          <w:lang w:eastAsia="en-AU"/>
        </w:rPr>
        <w:footnoteReference w:id="8"/>
      </w:r>
    </w:p>
    <w:p w14:paraId="2CC47A53" w14:textId="6F491789" w:rsidR="00A94CAE" w:rsidRPr="0025714A" w:rsidRDefault="00A94CAE" w:rsidP="00A94CAE">
      <w:pPr>
        <w:rPr>
          <w:lang w:eastAsia="en-AU"/>
        </w:rPr>
      </w:pPr>
      <w:r w:rsidRPr="00412C46">
        <w:rPr>
          <w:lang w:eastAsia="en-AU"/>
        </w:rPr>
        <w:t>In order to build a com</w:t>
      </w:r>
      <w:r>
        <w:rPr>
          <w:lang w:eastAsia="en-AU"/>
        </w:rPr>
        <w:t>prehensive CBA</w:t>
      </w:r>
      <w:r w:rsidRPr="00412C46">
        <w:rPr>
          <w:lang w:eastAsia="en-AU"/>
        </w:rPr>
        <w:t xml:space="preserve">, it is important that </w:t>
      </w:r>
      <w:r w:rsidR="00D97F19">
        <w:rPr>
          <w:lang w:eastAsia="en-AU"/>
        </w:rPr>
        <w:t>a</w:t>
      </w:r>
      <w:r w:rsidR="00FF031F">
        <w:rPr>
          <w:lang w:eastAsia="en-AU"/>
        </w:rPr>
        <w:t>gencies</w:t>
      </w:r>
      <w:r w:rsidRPr="00412C46">
        <w:rPr>
          <w:lang w:eastAsia="en-AU"/>
        </w:rPr>
        <w:t>’ cost of incorporating Code changes into their food regulatory system be considered and captured as appropriate.</w:t>
      </w:r>
      <w:r>
        <w:rPr>
          <w:lang w:eastAsia="en-AU"/>
        </w:rPr>
        <w:t xml:space="preserve"> </w:t>
      </w:r>
    </w:p>
    <w:p w14:paraId="08957FE6" w14:textId="77777777" w:rsidR="00966AFD" w:rsidRDefault="00966AFD" w:rsidP="00B678CE">
      <w:pPr>
        <w:rPr>
          <w:lang w:eastAsia="en-AU"/>
        </w:rPr>
      </w:pPr>
    </w:p>
    <w:p w14:paraId="6A584171" w14:textId="77777777" w:rsidR="00966AFD" w:rsidRDefault="00966AFD" w:rsidP="00966AFD">
      <w:pPr>
        <w:rPr>
          <w:rFonts w:ascii="Verdana" w:eastAsiaTheme="majorEastAsia" w:hAnsi="Verdana" w:cstheme="majorBidi"/>
          <w:sz w:val="36"/>
          <w:szCs w:val="28"/>
          <w:lang w:eastAsia="en-AU"/>
        </w:rPr>
      </w:pPr>
      <w:r>
        <w:rPr>
          <w:lang w:eastAsia="en-AU"/>
        </w:rPr>
        <w:br w:type="page"/>
      </w:r>
    </w:p>
    <w:p w14:paraId="56D3704E" w14:textId="6218CFCA" w:rsidR="00966AFD" w:rsidRDefault="00966AFD" w:rsidP="00966AFD">
      <w:pPr>
        <w:pStyle w:val="Heading1"/>
        <w:rPr>
          <w:lang w:eastAsia="en-AU"/>
        </w:rPr>
      </w:pPr>
      <w:bookmarkStart w:id="66" w:name="_Toc470000017"/>
      <w:bookmarkStart w:id="67" w:name="_Toc482357210"/>
      <w:r>
        <w:rPr>
          <w:lang w:eastAsia="en-AU"/>
        </w:rPr>
        <w:lastRenderedPageBreak/>
        <w:t xml:space="preserve">Appendix 2 – </w:t>
      </w:r>
      <w:r w:rsidR="00E957DB">
        <w:rPr>
          <w:lang w:eastAsia="en-AU"/>
        </w:rPr>
        <w:t xml:space="preserve">Australian and New Zealand Regulatory </w:t>
      </w:r>
      <w:bookmarkEnd w:id="66"/>
      <w:r w:rsidR="00FF031F">
        <w:rPr>
          <w:lang w:eastAsia="en-AU"/>
        </w:rPr>
        <w:t>Agencies</w:t>
      </w:r>
      <w:bookmarkEnd w:id="67"/>
    </w:p>
    <w:p w14:paraId="08883B87" w14:textId="6CE85D4F" w:rsidR="00B82792" w:rsidRPr="00FB2FDD" w:rsidRDefault="00B82792" w:rsidP="00B82792">
      <w:pPr>
        <w:rPr>
          <w:rFonts w:cs="Arial"/>
          <w:lang w:eastAsia="en-GB"/>
        </w:rPr>
      </w:pPr>
      <w:r w:rsidRPr="00FB2FDD">
        <w:rPr>
          <w:rFonts w:cs="Arial"/>
          <w:lang w:eastAsia="en-GB"/>
        </w:rPr>
        <w:t xml:space="preserve">New South Wales’ food regulatory </w:t>
      </w:r>
      <w:r w:rsidR="00FF031F">
        <w:rPr>
          <w:rFonts w:cs="Arial"/>
          <w:lang w:eastAsia="en-GB"/>
        </w:rPr>
        <w:t>agencies</w:t>
      </w:r>
      <w:r w:rsidRPr="00FB2FDD">
        <w:rPr>
          <w:rFonts w:cs="Arial"/>
          <w:lang w:eastAsia="en-GB"/>
        </w:rPr>
        <w:t xml:space="preserve"> are:</w:t>
      </w:r>
    </w:p>
    <w:p w14:paraId="6D605FB0" w14:textId="77777777" w:rsidR="00B82792" w:rsidRPr="00FB2FDD" w:rsidRDefault="00B82792" w:rsidP="000C52C6">
      <w:pPr>
        <w:pStyle w:val="FSBullet1"/>
        <w:rPr>
          <w:lang w:eastAsia="en-AU"/>
        </w:rPr>
      </w:pPr>
      <w:r w:rsidRPr="00FB2FDD">
        <w:rPr>
          <w:lang w:eastAsia="en-GB"/>
        </w:rPr>
        <w:t>NSW Food Authority, whose responsibilities include policy design, coordination and implementation</w:t>
      </w:r>
      <w:r w:rsidR="00FB2FDD">
        <w:rPr>
          <w:lang w:eastAsia="en-GB"/>
        </w:rPr>
        <w:t>, and</w:t>
      </w:r>
      <w:r w:rsidRPr="00FB2FDD">
        <w:rPr>
          <w:lang w:eastAsia="en-GB"/>
        </w:rPr>
        <w:t xml:space="preserve"> </w:t>
      </w:r>
      <w:r w:rsidR="00FB2FDD">
        <w:rPr>
          <w:lang w:eastAsia="en-GB"/>
        </w:rPr>
        <w:t>ensuring c</w:t>
      </w:r>
      <w:r w:rsidRPr="00FB2FDD">
        <w:rPr>
          <w:lang w:eastAsia="en-GB"/>
        </w:rPr>
        <w:t>ompliance of producers, manufacturers, and transport</w:t>
      </w:r>
      <w:r w:rsidR="00FB2FDD">
        <w:rPr>
          <w:lang w:eastAsia="en-GB"/>
        </w:rPr>
        <w:t>.</w:t>
      </w:r>
    </w:p>
    <w:p w14:paraId="2543E53D" w14:textId="77777777" w:rsidR="00B82792" w:rsidRPr="00FB2FDD" w:rsidRDefault="00B82792" w:rsidP="000C52C6">
      <w:pPr>
        <w:pStyle w:val="FSBullet1"/>
        <w:rPr>
          <w:lang w:eastAsia="en-AU"/>
        </w:rPr>
      </w:pPr>
      <w:r w:rsidRPr="00FB2FDD">
        <w:rPr>
          <w:lang w:eastAsia="en-GB"/>
        </w:rPr>
        <w:t>Local Councils whose responsibilities include ensuring c</w:t>
      </w:r>
      <w:r w:rsidR="00FB2FDD">
        <w:rPr>
          <w:lang w:eastAsia="en-GB"/>
        </w:rPr>
        <w:t>ompliance of r</w:t>
      </w:r>
      <w:r w:rsidRPr="00FB2FDD">
        <w:rPr>
          <w:lang w:eastAsia="en-GB"/>
        </w:rPr>
        <w:t>etail (excluding meat)</w:t>
      </w:r>
      <w:r w:rsidR="00FB2FDD">
        <w:rPr>
          <w:lang w:eastAsia="en-GB"/>
        </w:rPr>
        <w:t>.</w:t>
      </w:r>
    </w:p>
    <w:p w14:paraId="38BE2A34" w14:textId="2950933E" w:rsidR="00B82792" w:rsidRPr="00FB2FDD" w:rsidRDefault="00B82792" w:rsidP="00B82792">
      <w:pPr>
        <w:rPr>
          <w:rFonts w:cs="Arial"/>
          <w:lang w:eastAsia="en-GB"/>
        </w:rPr>
      </w:pPr>
      <w:r w:rsidRPr="00FB2FDD">
        <w:rPr>
          <w:rFonts w:cs="Arial"/>
          <w:lang w:eastAsia="en-AU"/>
        </w:rPr>
        <w:t xml:space="preserve">Victoria’s </w:t>
      </w:r>
      <w:r w:rsidRPr="00FB2FDD">
        <w:rPr>
          <w:rFonts w:cs="Arial"/>
          <w:lang w:eastAsia="en-GB"/>
        </w:rPr>
        <w:t xml:space="preserve">food regulatory </w:t>
      </w:r>
      <w:r w:rsidR="00FF031F">
        <w:rPr>
          <w:rFonts w:cs="Arial"/>
          <w:lang w:eastAsia="en-GB"/>
        </w:rPr>
        <w:t>agencies</w:t>
      </w:r>
      <w:r w:rsidRPr="00FB2FDD">
        <w:rPr>
          <w:rFonts w:cs="Arial"/>
          <w:lang w:eastAsia="en-GB"/>
        </w:rPr>
        <w:t xml:space="preserve"> are:</w:t>
      </w:r>
    </w:p>
    <w:p w14:paraId="7265ECF2" w14:textId="77777777" w:rsidR="00B82792" w:rsidRPr="00FB2FDD" w:rsidRDefault="00B82792" w:rsidP="000C52C6">
      <w:pPr>
        <w:pStyle w:val="FSBullet1"/>
        <w:rPr>
          <w:lang w:eastAsia="en-GB"/>
        </w:rPr>
      </w:pPr>
      <w:r w:rsidRPr="00FB2FDD">
        <w:rPr>
          <w:lang w:eastAsia="en-GB"/>
        </w:rPr>
        <w:t>Department of Economic Development</w:t>
      </w:r>
      <w:r w:rsidR="00FB2FDD">
        <w:rPr>
          <w:lang w:eastAsia="en-GB"/>
        </w:rPr>
        <w:t>, Jobs, Transport and Resources</w:t>
      </w:r>
      <w:r w:rsidRPr="00FB2FDD">
        <w:rPr>
          <w:lang w:eastAsia="en-GB"/>
        </w:rPr>
        <w:t xml:space="preserve">, whose responsibilities include </w:t>
      </w:r>
      <w:r w:rsidR="00FB2FDD" w:rsidRPr="00FB2FDD">
        <w:rPr>
          <w:lang w:eastAsia="en-GB"/>
        </w:rPr>
        <w:t xml:space="preserve">ensuring </w:t>
      </w:r>
      <w:r w:rsidRPr="00FB2FDD">
        <w:rPr>
          <w:lang w:eastAsia="en-GB"/>
        </w:rPr>
        <w:t>compliance of primary industries</w:t>
      </w:r>
      <w:r w:rsidR="00FB2FDD">
        <w:rPr>
          <w:lang w:eastAsia="en-GB"/>
        </w:rPr>
        <w:t>,</w:t>
      </w:r>
      <w:r w:rsidRPr="00FB2FDD">
        <w:rPr>
          <w:lang w:eastAsia="en-GB"/>
        </w:rPr>
        <w:t xml:space="preserve"> eggs</w:t>
      </w:r>
      <w:r w:rsidR="00FB2FDD">
        <w:rPr>
          <w:lang w:eastAsia="en-GB"/>
        </w:rPr>
        <w:t>,</w:t>
      </w:r>
      <w:r w:rsidRPr="00FB2FDD">
        <w:rPr>
          <w:lang w:eastAsia="en-GB"/>
        </w:rPr>
        <w:t xml:space="preserve"> and sprouts</w:t>
      </w:r>
      <w:r w:rsidR="00FB2FDD">
        <w:rPr>
          <w:lang w:eastAsia="en-GB"/>
        </w:rPr>
        <w:t>.</w:t>
      </w:r>
    </w:p>
    <w:p w14:paraId="4B3FFADF" w14:textId="77777777" w:rsidR="00B82792" w:rsidRPr="00FB2FDD" w:rsidRDefault="00B82792" w:rsidP="000C52C6">
      <w:pPr>
        <w:pStyle w:val="FSBullet1"/>
        <w:rPr>
          <w:lang w:eastAsia="en-GB"/>
        </w:rPr>
      </w:pPr>
      <w:r w:rsidRPr="00FB2FDD">
        <w:rPr>
          <w:lang w:eastAsia="en-GB"/>
        </w:rPr>
        <w:t>Department of Health and Human Services (Food Safety Unit), whose responsibilities include policy design, coordination and implementation</w:t>
      </w:r>
      <w:r w:rsidR="00FB2FDD">
        <w:rPr>
          <w:lang w:eastAsia="en-GB"/>
        </w:rPr>
        <w:t>.</w:t>
      </w:r>
    </w:p>
    <w:p w14:paraId="708819B2" w14:textId="77777777" w:rsidR="00B82792" w:rsidRPr="00FB2FDD" w:rsidRDefault="00B82792" w:rsidP="000C52C6">
      <w:pPr>
        <w:pStyle w:val="FSBullet1"/>
        <w:rPr>
          <w:lang w:eastAsia="en-GB"/>
        </w:rPr>
      </w:pPr>
      <w:r w:rsidRPr="00FB2FDD">
        <w:rPr>
          <w:lang w:eastAsia="en-GB"/>
        </w:rPr>
        <w:t xml:space="preserve">Primesafe, whose responsibilities include </w:t>
      </w:r>
      <w:r w:rsidR="00FB2FDD" w:rsidRPr="00FB2FDD">
        <w:rPr>
          <w:lang w:eastAsia="en-GB"/>
        </w:rPr>
        <w:t xml:space="preserve">ensuring </w:t>
      </w:r>
      <w:r w:rsidRPr="00FB2FDD">
        <w:rPr>
          <w:lang w:eastAsia="en-GB"/>
        </w:rPr>
        <w:t>compliance of meat</w:t>
      </w:r>
      <w:r w:rsidR="00FB2FDD">
        <w:rPr>
          <w:lang w:eastAsia="en-GB"/>
        </w:rPr>
        <w:t xml:space="preserve"> and</w:t>
      </w:r>
      <w:r w:rsidRPr="00FB2FDD">
        <w:rPr>
          <w:lang w:eastAsia="en-GB"/>
        </w:rPr>
        <w:t xml:space="preserve"> seafood</w:t>
      </w:r>
      <w:r w:rsidR="00FB2FDD">
        <w:rPr>
          <w:lang w:eastAsia="en-GB"/>
        </w:rPr>
        <w:t>.</w:t>
      </w:r>
    </w:p>
    <w:p w14:paraId="304EB5F4" w14:textId="77777777" w:rsidR="00B82792" w:rsidRPr="00FB2FDD" w:rsidRDefault="00B82792" w:rsidP="000C52C6">
      <w:pPr>
        <w:pStyle w:val="FSBullet1"/>
        <w:rPr>
          <w:lang w:eastAsia="en-GB"/>
        </w:rPr>
      </w:pPr>
      <w:r w:rsidRPr="00FB2FDD">
        <w:rPr>
          <w:lang w:eastAsia="en-GB"/>
        </w:rPr>
        <w:t xml:space="preserve">Dairy Food Safety Victoria, whose responsibilities include </w:t>
      </w:r>
      <w:r w:rsidR="00FB2FDD" w:rsidRPr="00FB2FDD">
        <w:rPr>
          <w:lang w:eastAsia="en-GB"/>
        </w:rPr>
        <w:t xml:space="preserve">ensuring </w:t>
      </w:r>
      <w:r w:rsidRPr="00FB2FDD">
        <w:rPr>
          <w:lang w:eastAsia="en-GB"/>
        </w:rPr>
        <w:t>compliance of dairy</w:t>
      </w:r>
      <w:r w:rsidR="00FB2FDD">
        <w:rPr>
          <w:lang w:eastAsia="en-GB"/>
        </w:rPr>
        <w:t>.</w:t>
      </w:r>
    </w:p>
    <w:p w14:paraId="56A727E2" w14:textId="77777777" w:rsidR="00B82792" w:rsidRPr="00FB2FDD" w:rsidRDefault="00B82792" w:rsidP="000C52C6">
      <w:pPr>
        <w:pStyle w:val="FSBullet1"/>
        <w:rPr>
          <w:lang w:eastAsia="en-GB"/>
        </w:rPr>
      </w:pPr>
      <w:r w:rsidRPr="00FB2FDD">
        <w:rPr>
          <w:lang w:eastAsia="en-GB"/>
        </w:rPr>
        <w:t>Local Council</w:t>
      </w:r>
      <w:r w:rsidR="00FB2FDD">
        <w:rPr>
          <w:lang w:eastAsia="en-GB"/>
        </w:rPr>
        <w:t>s</w:t>
      </w:r>
      <w:r w:rsidRPr="00FB2FDD">
        <w:rPr>
          <w:lang w:eastAsia="en-GB"/>
        </w:rPr>
        <w:t xml:space="preserve">, whose responsibilities include </w:t>
      </w:r>
      <w:r w:rsidR="00FB2FDD" w:rsidRPr="00FB2FDD">
        <w:rPr>
          <w:lang w:eastAsia="en-GB"/>
        </w:rPr>
        <w:t xml:space="preserve">ensuring </w:t>
      </w:r>
      <w:r w:rsidRPr="00FB2FDD">
        <w:rPr>
          <w:lang w:eastAsia="en-GB"/>
        </w:rPr>
        <w:t>compliance of all remaining businesses</w:t>
      </w:r>
      <w:r w:rsidR="00FB2FDD">
        <w:rPr>
          <w:lang w:eastAsia="en-GB"/>
        </w:rPr>
        <w:t>.</w:t>
      </w:r>
    </w:p>
    <w:p w14:paraId="65B1E590" w14:textId="132D6873" w:rsidR="00B82792" w:rsidRPr="00FB2FDD" w:rsidRDefault="00B82792" w:rsidP="00B82792">
      <w:pPr>
        <w:rPr>
          <w:rFonts w:cs="Arial"/>
          <w:lang w:eastAsia="en-GB"/>
        </w:rPr>
      </w:pPr>
      <w:r w:rsidRPr="00FB2FDD">
        <w:rPr>
          <w:rFonts w:cs="Arial"/>
          <w:lang w:eastAsia="en-GB"/>
        </w:rPr>
        <w:t xml:space="preserve">Queensland’s food regulatory </w:t>
      </w:r>
      <w:r w:rsidR="00FF031F">
        <w:rPr>
          <w:rFonts w:cs="Arial"/>
          <w:lang w:eastAsia="en-GB"/>
        </w:rPr>
        <w:t>agencies</w:t>
      </w:r>
      <w:r w:rsidRPr="00FB2FDD">
        <w:rPr>
          <w:rFonts w:cs="Arial"/>
          <w:lang w:eastAsia="en-GB"/>
        </w:rPr>
        <w:t xml:space="preserve"> are:</w:t>
      </w:r>
    </w:p>
    <w:p w14:paraId="74C0A4B1" w14:textId="77777777" w:rsidR="00B82792" w:rsidRPr="00FB2FDD" w:rsidRDefault="00B82792" w:rsidP="000C52C6">
      <w:pPr>
        <w:pStyle w:val="FSBullet1"/>
        <w:rPr>
          <w:lang w:eastAsia="en-GB"/>
        </w:rPr>
      </w:pPr>
      <w:r w:rsidRPr="00FB2FDD">
        <w:rPr>
          <w:lang w:eastAsia="en-GB"/>
        </w:rPr>
        <w:t xml:space="preserve">Food Safety Policy and Regulation Section (within Department of Health), whose responsibilities include </w:t>
      </w:r>
      <w:r w:rsidR="00FB2FDD">
        <w:rPr>
          <w:lang w:eastAsia="en-GB"/>
        </w:rPr>
        <w:t>p</w:t>
      </w:r>
      <w:r w:rsidRPr="00FB2FDD">
        <w:rPr>
          <w:lang w:eastAsia="en-GB"/>
        </w:rPr>
        <w:t>olicy design, coordination and implementation</w:t>
      </w:r>
      <w:r w:rsidR="00FB2FDD">
        <w:rPr>
          <w:lang w:eastAsia="en-GB"/>
        </w:rPr>
        <w:t>, and</w:t>
      </w:r>
      <w:r w:rsidRPr="00FB2FDD">
        <w:rPr>
          <w:lang w:eastAsia="en-GB"/>
        </w:rPr>
        <w:t xml:space="preserve"> </w:t>
      </w:r>
      <w:r w:rsidR="00FB2FDD">
        <w:rPr>
          <w:lang w:eastAsia="en-GB"/>
        </w:rPr>
        <w:t>c</w:t>
      </w:r>
      <w:r w:rsidRPr="00FB2FDD">
        <w:rPr>
          <w:lang w:eastAsia="en-GB"/>
        </w:rPr>
        <w:t>ompliance of producers</w:t>
      </w:r>
      <w:r w:rsidR="00FB2FDD">
        <w:rPr>
          <w:lang w:eastAsia="en-GB"/>
        </w:rPr>
        <w:t xml:space="preserve"> and</w:t>
      </w:r>
      <w:r w:rsidRPr="00FB2FDD">
        <w:rPr>
          <w:lang w:eastAsia="en-GB"/>
        </w:rPr>
        <w:t xml:space="preserve"> manufacturers</w:t>
      </w:r>
      <w:r w:rsidR="00FB2FDD">
        <w:rPr>
          <w:lang w:eastAsia="en-GB"/>
        </w:rPr>
        <w:t>.</w:t>
      </w:r>
    </w:p>
    <w:p w14:paraId="1D7B2346" w14:textId="77777777" w:rsidR="00B82792" w:rsidRPr="00FB2FDD" w:rsidRDefault="00B82792" w:rsidP="000C52C6">
      <w:pPr>
        <w:pStyle w:val="FSBullet1"/>
        <w:rPr>
          <w:lang w:eastAsia="en-GB"/>
        </w:rPr>
      </w:pPr>
      <w:r w:rsidRPr="00FB2FDD">
        <w:rPr>
          <w:lang w:eastAsia="en-GB"/>
        </w:rPr>
        <w:t>Safe Food Production Queensland, whose responsibilities include</w:t>
      </w:r>
      <w:r w:rsidR="00FB2FDD" w:rsidRPr="00FB2FDD">
        <w:rPr>
          <w:lang w:eastAsia="en-GB"/>
        </w:rPr>
        <w:t xml:space="preserve"> ensuring </w:t>
      </w:r>
      <w:r w:rsidR="00FB2FDD">
        <w:rPr>
          <w:lang w:eastAsia="en-GB"/>
        </w:rPr>
        <w:t>c</w:t>
      </w:r>
      <w:r w:rsidR="00FB2FDD" w:rsidRPr="00FB2FDD">
        <w:rPr>
          <w:lang w:eastAsia="en-GB"/>
        </w:rPr>
        <w:t>ompliance of primary producers; meat, dairy, eggs</w:t>
      </w:r>
      <w:r w:rsidR="00FB2FDD">
        <w:rPr>
          <w:lang w:eastAsia="en-GB"/>
        </w:rPr>
        <w:t>.</w:t>
      </w:r>
    </w:p>
    <w:p w14:paraId="1804E968" w14:textId="77777777" w:rsidR="00B82792" w:rsidRPr="00FB2FDD" w:rsidRDefault="00B82792" w:rsidP="000C52C6">
      <w:pPr>
        <w:pStyle w:val="FSBullet1"/>
        <w:rPr>
          <w:lang w:eastAsia="en-GB"/>
        </w:rPr>
      </w:pPr>
      <w:r w:rsidRPr="00FB2FDD">
        <w:rPr>
          <w:lang w:eastAsia="en-GB"/>
        </w:rPr>
        <w:t>Local Council</w:t>
      </w:r>
      <w:r w:rsidR="00FB2FDD">
        <w:rPr>
          <w:lang w:eastAsia="en-GB"/>
        </w:rPr>
        <w:t>s</w:t>
      </w:r>
      <w:r w:rsidRPr="00FB2FDD">
        <w:rPr>
          <w:lang w:eastAsia="en-GB"/>
        </w:rPr>
        <w:t>, whose responsibilities include</w:t>
      </w:r>
      <w:r w:rsidR="00FB2FDD" w:rsidRPr="00FB2FDD">
        <w:rPr>
          <w:lang w:eastAsia="en-GB"/>
        </w:rPr>
        <w:t xml:space="preserve"> ensuring </w:t>
      </w:r>
      <w:r w:rsidR="00FB2FDD">
        <w:rPr>
          <w:lang w:eastAsia="en-GB"/>
        </w:rPr>
        <w:t>c</w:t>
      </w:r>
      <w:r w:rsidR="00FB2FDD" w:rsidRPr="00FB2FDD">
        <w:rPr>
          <w:lang w:eastAsia="en-GB"/>
        </w:rPr>
        <w:t>ompliance of retail (excluding meat)</w:t>
      </w:r>
      <w:r w:rsidR="00FB2FDD">
        <w:rPr>
          <w:lang w:eastAsia="en-GB"/>
        </w:rPr>
        <w:t>.</w:t>
      </w:r>
    </w:p>
    <w:p w14:paraId="0F7AFE5F" w14:textId="500CBCB9" w:rsidR="00B82792" w:rsidRPr="00FB2FDD" w:rsidRDefault="00B82792" w:rsidP="00B82792">
      <w:pPr>
        <w:rPr>
          <w:rFonts w:cs="Arial"/>
          <w:lang w:eastAsia="en-GB"/>
        </w:rPr>
      </w:pPr>
      <w:r w:rsidRPr="00FB2FDD">
        <w:rPr>
          <w:rFonts w:cs="Arial"/>
          <w:lang w:eastAsia="en-GB"/>
        </w:rPr>
        <w:t xml:space="preserve">Western Australia’s food regulatory </w:t>
      </w:r>
      <w:r w:rsidR="00FF031F">
        <w:rPr>
          <w:rFonts w:cs="Arial"/>
          <w:lang w:eastAsia="en-GB"/>
        </w:rPr>
        <w:t>agencies</w:t>
      </w:r>
      <w:r w:rsidRPr="00FB2FDD">
        <w:rPr>
          <w:rFonts w:cs="Arial"/>
          <w:lang w:eastAsia="en-GB"/>
        </w:rPr>
        <w:t xml:space="preserve"> are:</w:t>
      </w:r>
    </w:p>
    <w:p w14:paraId="7C7D2FD7" w14:textId="77777777" w:rsidR="00B82792" w:rsidRPr="00FB2FDD" w:rsidRDefault="00B82792" w:rsidP="000C52C6">
      <w:pPr>
        <w:pStyle w:val="FSBullet1"/>
        <w:rPr>
          <w:lang w:eastAsia="en-GB"/>
        </w:rPr>
      </w:pPr>
      <w:r w:rsidRPr="00FB2FDD">
        <w:rPr>
          <w:lang w:eastAsia="en-GB"/>
        </w:rPr>
        <w:t>Food Unit (within Department of Health), whose responsibilities include</w:t>
      </w:r>
      <w:r w:rsidR="00FB2FDD" w:rsidRPr="00FB2FDD">
        <w:rPr>
          <w:lang w:eastAsia="en-GB"/>
        </w:rPr>
        <w:t xml:space="preserve"> </w:t>
      </w:r>
      <w:r w:rsidR="00FB2FDD">
        <w:rPr>
          <w:lang w:eastAsia="en-GB"/>
        </w:rPr>
        <w:t>p</w:t>
      </w:r>
      <w:r w:rsidR="00FB2FDD" w:rsidRPr="00FB2FDD">
        <w:rPr>
          <w:lang w:eastAsia="en-GB"/>
        </w:rPr>
        <w:t>olicy design, coordination and implementation</w:t>
      </w:r>
      <w:r w:rsidR="00FB2FDD">
        <w:rPr>
          <w:lang w:eastAsia="en-GB"/>
        </w:rPr>
        <w:t>,</w:t>
      </w:r>
      <w:r w:rsidR="00FB2FDD" w:rsidRPr="00FB2FDD">
        <w:rPr>
          <w:lang w:eastAsia="en-GB"/>
        </w:rPr>
        <w:t xml:space="preserve"> </w:t>
      </w:r>
      <w:r w:rsidR="00FB2FDD">
        <w:rPr>
          <w:lang w:eastAsia="en-GB"/>
        </w:rPr>
        <w:t xml:space="preserve">and </w:t>
      </w:r>
      <w:r w:rsidR="00FB2FDD" w:rsidRPr="00FB2FDD">
        <w:rPr>
          <w:lang w:eastAsia="en-GB"/>
        </w:rPr>
        <w:t>ensuring</w:t>
      </w:r>
      <w:r w:rsidR="00FB2FDD">
        <w:rPr>
          <w:lang w:eastAsia="en-GB"/>
        </w:rPr>
        <w:t xml:space="preserve"> c</w:t>
      </w:r>
      <w:r w:rsidR="00FB2FDD" w:rsidRPr="00FB2FDD">
        <w:rPr>
          <w:lang w:eastAsia="en-GB"/>
        </w:rPr>
        <w:t>ompliance of everything except most retail</w:t>
      </w:r>
      <w:r w:rsidR="00FB2FDD">
        <w:rPr>
          <w:lang w:eastAsia="en-GB"/>
        </w:rPr>
        <w:t>.</w:t>
      </w:r>
    </w:p>
    <w:p w14:paraId="69A1472F" w14:textId="77777777" w:rsidR="00B82792" w:rsidRPr="00FB2FDD" w:rsidRDefault="00B82792" w:rsidP="000C52C6">
      <w:pPr>
        <w:pStyle w:val="FSBullet1"/>
        <w:rPr>
          <w:lang w:eastAsia="en-GB"/>
        </w:rPr>
      </w:pPr>
      <w:r w:rsidRPr="00FB2FDD">
        <w:rPr>
          <w:lang w:eastAsia="en-GB"/>
        </w:rPr>
        <w:t>Local Council</w:t>
      </w:r>
      <w:r w:rsidR="00FB2FDD">
        <w:rPr>
          <w:lang w:eastAsia="en-GB"/>
        </w:rPr>
        <w:t>s</w:t>
      </w:r>
      <w:r w:rsidRPr="00FB2FDD">
        <w:rPr>
          <w:lang w:eastAsia="en-GB"/>
        </w:rPr>
        <w:t>, whose responsibilities include</w:t>
      </w:r>
      <w:r w:rsidR="00FB2FDD" w:rsidRPr="00FB2FDD">
        <w:rPr>
          <w:lang w:eastAsia="en-GB"/>
        </w:rPr>
        <w:t xml:space="preserve"> ensuring </w:t>
      </w:r>
      <w:r w:rsidR="00FB2FDD">
        <w:rPr>
          <w:lang w:eastAsia="en-GB"/>
        </w:rPr>
        <w:t>c</w:t>
      </w:r>
      <w:r w:rsidR="00FB2FDD" w:rsidRPr="00FB2FDD">
        <w:rPr>
          <w:lang w:eastAsia="en-GB"/>
        </w:rPr>
        <w:t>ompliance of retail</w:t>
      </w:r>
      <w:r w:rsidR="00FB2FDD">
        <w:rPr>
          <w:lang w:eastAsia="en-GB"/>
        </w:rPr>
        <w:t>.</w:t>
      </w:r>
    </w:p>
    <w:p w14:paraId="6B34CE7B" w14:textId="13B0E0D9" w:rsidR="00B82792" w:rsidRPr="00FB2FDD" w:rsidRDefault="00B82792" w:rsidP="00B82792">
      <w:pPr>
        <w:rPr>
          <w:rFonts w:cs="Arial"/>
          <w:lang w:eastAsia="en-GB"/>
        </w:rPr>
      </w:pPr>
      <w:r w:rsidRPr="00FB2FDD">
        <w:rPr>
          <w:rFonts w:cs="Arial"/>
          <w:lang w:eastAsia="en-GB"/>
        </w:rPr>
        <w:t xml:space="preserve">South Australia’s food regulatory </w:t>
      </w:r>
      <w:r w:rsidR="00FF031F">
        <w:rPr>
          <w:rFonts w:cs="Arial"/>
          <w:lang w:eastAsia="en-GB"/>
        </w:rPr>
        <w:t>agencies</w:t>
      </w:r>
      <w:r w:rsidRPr="00FB2FDD">
        <w:rPr>
          <w:rFonts w:cs="Arial"/>
          <w:lang w:eastAsia="en-GB"/>
        </w:rPr>
        <w:t xml:space="preserve"> are:</w:t>
      </w:r>
    </w:p>
    <w:p w14:paraId="63E240EA" w14:textId="77777777" w:rsidR="00B82792" w:rsidRPr="00FB2FDD" w:rsidRDefault="00B82792" w:rsidP="000C52C6">
      <w:pPr>
        <w:pStyle w:val="FSBullet1"/>
        <w:rPr>
          <w:lang w:eastAsia="en-GB"/>
        </w:rPr>
      </w:pPr>
      <w:r w:rsidRPr="00FB2FDD">
        <w:rPr>
          <w:lang w:eastAsia="en-GB"/>
        </w:rPr>
        <w:t>Food Safety and Nutrition Branch (within SA Health), whose responsibilities include</w:t>
      </w:r>
      <w:r w:rsidR="00FB2FDD" w:rsidRPr="00FB2FDD">
        <w:rPr>
          <w:lang w:eastAsia="en-GB"/>
        </w:rPr>
        <w:t xml:space="preserve"> </w:t>
      </w:r>
      <w:r w:rsidR="00FB2FDD">
        <w:rPr>
          <w:lang w:eastAsia="en-GB"/>
        </w:rPr>
        <w:t>p</w:t>
      </w:r>
      <w:r w:rsidR="00FB2FDD" w:rsidRPr="00FB2FDD">
        <w:rPr>
          <w:lang w:eastAsia="en-GB"/>
        </w:rPr>
        <w:t>olicy design, coordination and implementation</w:t>
      </w:r>
      <w:r w:rsidR="00FB2FDD">
        <w:rPr>
          <w:lang w:eastAsia="en-GB"/>
        </w:rPr>
        <w:t>, and</w:t>
      </w:r>
      <w:r w:rsidR="00FB2FDD" w:rsidRPr="00FB2FDD">
        <w:rPr>
          <w:lang w:eastAsia="en-GB"/>
        </w:rPr>
        <w:t xml:space="preserve"> ensuring</w:t>
      </w:r>
      <w:r w:rsidR="00FB2FDD">
        <w:rPr>
          <w:lang w:eastAsia="en-GB"/>
        </w:rPr>
        <w:t xml:space="preserve"> c</w:t>
      </w:r>
      <w:r w:rsidR="00FB2FDD" w:rsidRPr="00FB2FDD">
        <w:rPr>
          <w:lang w:eastAsia="en-GB"/>
        </w:rPr>
        <w:t>ompliance of vulnerable populations</w:t>
      </w:r>
      <w:r w:rsidR="00FB2FDD">
        <w:rPr>
          <w:lang w:eastAsia="en-GB"/>
        </w:rPr>
        <w:t>.</w:t>
      </w:r>
    </w:p>
    <w:p w14:paraId="79E13123" w14:textId="77777777" w:rsidR="00B82792" w:rsidRPr="00FB2FDD" w:rsidRDefault="00B82792" w:rsidP="000C52C6">
      <w:pPr>
        <w:pStyle w:val="FSBullet1"/>
        <w:rPr>
          <w:lang w:eastAsia="en-GB"/>
        </w:rPr>
      </w:pPr>
      <w:r w:rsidRPr="00FB2FDD">
        <w:rPr>
          <w:lang w:eastAsia="en-GB"/>
        </w:rPr>
        <w:t>Biosecurity SA, whose responsibilities include</w:t>
      </w:r>
      <w:r w:rsidR="00FB2FDD" w:rsidRPr="00FB2FDD">
        <w:rPr>
          <w:lang w:eastAsia="en-GB"/>
        </w:rPr>
        <w:t xml:space="preserve"> ensuring </w:t>
      </w:r>
      <w:r w:rsidR="00FB2FDD">
        <w:rPr>
          <w:lang w:eastAsia="en-GB"/>
        </w:rPr>
        <w:t>c</w:t>
      </w:r>
      <w:r w:rsidR="00FB2FDD" w:rsidRPr="00FB2FDD">
        <w:rPr>
          <w:lang w:eastAsia="en-GB"/>
        </w:rPr>
        <w:t>ompliance of primary production; meat, seafood, citrus, eggs</w:t>
      </w:r>
      <w:r w:rsidR="00FB2FDD">
        <w:rPr>
          <w:lang w:eastAsia="en-GB"/>
        </w:rPr>
        <w:t>.</w:t>
      </w:r>
    </w:p>
    <w:p w14:paraId="4F270DA4" w14:textId="77777777" w:rsidR="00B82792" w:rsidRPr="00FB2FDD" w:rsidRDefault="00B82792" w:rsidP="000C52C6">
      <w:pPr>
        <w:pStyle w:val="FSBullet1"/>
        <w:rPr>
          <w:lang w:eastAsia="en-GB"/>
        </w:rPr>
      </w:pPr>
      <w:r w:rsidRPr="00FB2FDD">
        <w:rPr>
          <w:lang w:eastAsia="en-GB"/>
        </w:rPr>
        <w:t>Dairy Authority of South Australia, whose responsibilities include</w:t>
      </w:r>
      <w:r w:rsidR="00FB2FDD" w:rsidRPr="00FB2FDD">
        <w:rPr>
          <w:lang w:eastAsia="en-GB"/>
        </w:rPr>
        <w:t xml:space="preserve"> ensuring </w:t>
      </w:r>
      <w:r w:rsidR="00FB2FDD">
        <w:rPr>
          <w:lang w:eastAsia="en-GB"/>
        </w:rPr>
        <w:t>c</w:t>
      </w:r>
      <w:r w:rsidR="00FB2FDD" w:rsidRPr="00FB2FDD">
        <w:rPr>
          <w:lang w:eastAsia="en-GB"/>
        </w:rPr>
        <w:t>ompliance of dairy</w:t>
      </w:r>
      <w:r w:rsidR="00FB2FDD">
        <w:rPr>
          <w:lang w:eastAsia="en-GB"/>
        </w:rPr>
        <w:t>.</w:t>
      </w:r>
    </w:p>
    <w:p w14:paraId="28432538" w14:textId="77777777" w:rsidR="00B82792" w:rsidRPr="00FB2FDD" w:rsidRDefault="00B82792" w:rsidP="000C52C6">
      <w:pPr>
        <w:pStyle w:val="FSBullet1"/>
        <w:rPr>
          <w:lang w:eastAsia="en-GB"/>
        </w:rPr>
      </w:pPr>
      <w:r w:rsidRPr="00FB2FDD">
        <w:rPr>
          <w:lang w:eastAsia="en-GB"/>
        </w:rPr>
        <w:t>Local councils, whose responsibilities include</w:t>
      </w:r>
      <w:r w:rsidR="00FB2FDD" w:rsidRPr="00FB2FDD">
        <w:rPr>
          <w:lang w:eastAsia="en-GB"/>
        </w:rPr>
        <w:t xml:space="preserve"> ensuring </w:t>
      </w:r>
      <w:r w:rsidR="00FB2FDD">
        <w:rPr>
          <w:lang w:eastAsia="en-GB"/>
        </w:rPr>
        <w:t>c</w:t>
      </w:r>
      <w:r w:rsidR="00FB2FDD" w:rsidRPr="00FB2FDD">
        <w:rPr>
          <w:lang w:eastAsia="en-GB"/>
        </w:rPr>
        <w:t>ompliance of manufacturing, transport, retail</w:t>
      </w:r>
      <w:r w:rsidR="00FB2FDD">
        <w:rPr>
          <w:lang w:eastAsia="en-GB"/>
        </w:rPr>
        <w:t>.</w:t>
      </w:r>
    </w:p>
    <w:p w14:paraId="32F7AA9D" w14:textId="03AE9DEE" w:rsidR="00B82792" w:rsidRPr="00FB2FDD" w:rsidRDefault="00B82792" w:rsidP="00FB2FDD">
      <w:pPr>
        <w:keepNext/>
        <w:keepLines/>
        <w:rPr>
          <w:rFonts w:cs="Arial"/>
          <w:lang w:eastAsia="en-GB"/>
        </w:rPr>
      </w:pPr>
      <w:r w:rsidRPr="00FB2FDD">
        <w:rPr>
          <w:rFonts w:cs="Arial"/>
          <w:lang w:eastAsia="en-GB"/>
        </w:rPr>
        <w:t xml:space="preserve">Tasmania’s food regulatory </w:t>
      </w:r>
      <w:r w:rsidR="00FF031F">
        <w:rPr>
          <w:rFonts w:cs="Arial"/>
          <w:lang w:eastAsia="en-GB"/>
        </w:rPr>
        <w:t>agencies</w:t>
      </w:r>
      <w:r w:rsidRPr="00FB2FDD">
        <w:rPr>
          <w:rFonts w:cs="Arial"/>
          <w:lang w:eastAsia="en-GB"/>
        </w:rPr>
        <w:t xml:space="preserve"> are:</w:t>
      </w:r>
    </w:p>
    <w:p w14:paraId="625917A2" w14:textId="77777777" w:rsidR="00B82792" w:rsidRPr="00FB2FDD" w:rsidRDefault="00B82792" w:rsidP="000C52C6">
      <w:pPr>
        <w:pStyle w:val="FSBullet1"/>
        <w:rPr>
          <w:lang w:eastAsia="en-GB"/>
        </w:rPr>
      </w:pPr>
      <w:r w:rsidRPr="00FB2FDD">
        <w:rPr>
          <w:lang w:eastAsia="en-GB"/>
        </w:rPr>
        <w:t>Food safety division (within the Department of Health and Human Services), whose responsibilities include</w:t>
      </w:r>
      <w:r w:rsidR="00FB2FDD" w:rsidRPr="00FB2FDD">
        <w:rPr>
          <w:lang w:eastAsia="en-GB"/>
        </w:rPr>
        <w:t xml:space="preserve"> </w:t>
      </w:r>
      <w:r w:rsidR="00FB2FDD">
        <w:rPr>
          <w:lang w:eastAsia="en-GB"/>
        </w:rPr>
        <w:t>p</w:t>
      </w:r>
      <w:r w:rsidR="00FB2FDD" w:rsidRPr="00FB2FDD">
        <w:rPr>
          <w:lang w:eastAsia="en-GB"/>
        </w:rPr>
        <w:t>olicy design, coordination and implementation</w:t>
      </w:r>
      <w:r w:rsidR="00FB2FDD">
        <w:rPr>
          <w:lang w:eastAsia="en-GB"/>
        </w:rPr>
        <w:t>.</w:t>
      </w:r>
    </w:p>
    <w:p w14:paraId="0EEC9073" w14:textId="77777777" w:rsidR="00B82792" w:rsidRPr="00FB2FDD" w:rsidRDefault="00B82792" w:rsidP="000C52C6">
      <w:pPr>
        <w:pStyle w:val="FSBullet1"/>
        <w:rPr>
          <w:lang w:eastAsia="en-GB"/>
        </w:rPr>
      </w:pPr>
      <w:r w:rsidRPr="00FB2FDD">
        <w:rPr>
          <w:lang w:eastAsia="en-GB"/>
        </w:rPr>
        <w:lastRenderedPageBreak/>
        <w:t>Biosecurity Tasmania (within the Department of Industries, Parks, Water and Environment), whose responsibilities include</w:t>
      </w:r>
      <w:r w:rsidR="00FB2FDD" w:rsidRPr="00FB2FDD">
        <w:rPr>
          <w:lang w:eastAsia="en-GB"/>
        </w:rPr>
        <w:t xml:space="preserve"> ensuring </w:t>
      </w:r>
      <w:r w:rsidR="00FB2FDD">
        <w:rPr>
          <w:lang w:eastAsia="en-GB"/>
        </w:rPr>
        <w:t>c</w:t>
      </w:r>
      <w:r w:rsidR="00FB2FDD" w:rsidRPr="00FB2FDD">
        <w:rPr>
          <w:lang w:eastAsia="en-GB"/>
        </w:rPr>
        <w:t>ompliance of primary production and processing sectors</w:t>
      </w:r>
      <w:r w:rsidR="00FB2FDD">
        <w:rPr>
          <w:lang w:eastAsia="en-GB"/>
        </w:rPr>
        <w:t>.</w:t>
      </w:r>
    </w:p>
    <w:p w14:paraId="246E4327" w14:textId="77777777" w:rsidR="00B82792" w:rsidRPr="00FB2FDD" w:rsidRDefault="00B82792" w:rsidP="000C52C6">
      <w:pPr>
        <w:pStyle w:val="FSBullet1"/>
        <w:rPr>
          <w:lang w:eastAsia="en-GB"/>
        </w:rPr>
      </w:pPr>
      <w:r w:rsidRPr="00FB2FDD">
        <w:rPr>
          <w:lang w:eastAsia="en-GB"/>
        </w:rPr>
        <w:t>Tasmanian Dairy Industry Authority, whose responsibilities include</w:t>
      </w:r>
      <w:r w:rsidR="00FB2FDD" w:rsidRPr="00FB2FDD">
        <w:rPr>
          <w:lang w:eastAsia="en-GB"/>
        </w:rPr>
        <w:t xml:space="preserve"> ensuring </w:t>
      </w:r>
      <w:r w:rsidR="00FB2FDD">
        <w:rPr>
          <w:lang w:eastAsia="en-GB"/>
        </w:rPr>
        <w:t>c</w:t>
      </w:r>
      <w:r w:rsidR="00FB2FDD" w:rsidRPr="00FB2FDD">
        <w:rPr>
          <w:lang w:eastAsia="en-GB"/>
        </w:rPr>
        <w:t>ompliance of dairy</w:t>
      </w:r>
      <w:r w:rsidR="00FB2FDD">
        <w:rPr>
          <w:lang w:eastAsia="en-GB"/>
        </w:rPr>
        <w:t>.</w:t>
      </w:r>
    </w:p>
    <w:p w14:paraId="3512EB90" w14:textId="77777777" w:rsidR="00B82792" w:rsidRPr="00FB2FDD" w:rsidRDefault="00B82792" w:rsidP="000C52C6">
      <w:pPr>
        <w:pStyle w:val="FSBullet1"/>
        <w:rPr>
          <w:lang w:eastAsia="en-GB"/>
        </w:rPr>
      </w:pPr>
      <w:r w:rsidRPr="00FB2FDD">
        <w:rPr>
          <w:lang w:eastAsia="en-GB"/>
        </w:rPr>
        <w:t>Local Councils, whose responsibilities include</w:t>
      </w:r>
      <w:r w:rsidR="00FB2FDD" w:rsidRPr="00FB2FDD">
        <w:rPr>
          <w:lang w:eastAsia="en-GB"/>
        </w:rPr>
        <w:t xml:space="preserve"> ensuring </w:t>
      </w:r>
      <w:r w:rsidR="00FB2FDD">
        <w:rPr>
          <w:lang w:eastAsia="en-GB"/>
        </w:rPr>
        <w:t>c</w:t>
      </w:r>
      <w:r w:rsidR="00FB2FDD" w:rsidRPr="00FB2FDD">
        <w:rPr>
          <w:lang w:eastAsia="en-GB"/>
        </w:rPr>
        <w:t>ompliance of manufacturers, transport,</w:t>
      </w:r>
      <w:r w:rsidR="00FB2FDD">
        <w:rPr>
          <w:lang w:eastAsia="en-GB"/>
        </w:rPr>
        <w:t xml:space="preserve"> and</w:t>
      </w:r>
      <w:r w:rsidR="00FB2FDD" w:rsidRPr="00FB2FDD">
        <w:rPr>
          <w:lang w:eastAsia="en-GB"/>
        </w:rPr>
        <w:t xml:space="preserve"> retail</w:t>
      </w:r>
      <w:r w:rsidR="00FB2FDD">
        <w:rPr>
          <w:lang w:eastAsia="en-GB"/>
        </w:rPr>
        <w:t>.</w:t>
      </w:r>
    </w:p>
    <w:p w14:paraId="31E3B63A" w14:textId="5CED76AC" w:rsidR="00B82792" w:rsidRPr="00FB2FDD" w:rsidRDefault="00B82792" w:rsidP="00B82792">
      <w:pPr>
        <w:rPr>
          <w:rFonts w:cs="Arial"/>
          <w:lang w:eastAsia="en-GB"/>
        </w:rPr>
      </w:pPr>
      <w:r w:rsidRPr="00FB2FDD">
        <w:rPr>
          <w:rFonts w:cs="Arial"/>
          <w:lang w:eastAsia="en-GB"/>
        </w:rPr>
        <w:t xml:space="preserve">Northern Territory’s food regulatory </w:t>
      </w:r>
      <w:r w:rsidR="00FF031F">
        <w:rPr>
          <w:rFonts w:cs="Arial"/>
          <w:lang w:eastAsia="en-GB"/>
        </w:rPr>
        <w:t>agencies</w:t>
      </w:r>
      <w:r w:rsidRPr="00FB2FDD">
        <w:rPr>
          <w:rFonts w:cs="Arial"/>
          <w:lang w:eastAsia="en-GB"/>
        </w:rPr>
        <w:t xml:space="preserve"> are:</w:t>
      </w:r>
    </w:p>
    <w:p w14:paraId="07D28A6B" w14:textId="77777777" w:rsidR="00FB2FDD" w:rsidRDefault="00B82792" w:rsidP="000C52C6">
      <w:pPr>
        <w:pStyle w:val="FSBullet1"/>
        <w:rPr>
          <w:lang w:eastAsia="en-GB"/>
        </w:rPr>
      </w:pPr>
      <w:r w:rsidRPr="00FB2FDD">
        <w:rPr>
          <w:lang w:eastAsia="en-GB"/>
        </w:rPr>
        <w:t>Food Safety Section (within the Department of Health), whose responsibilities include</w:t>
      </w:r>
      <w:r w:rsidR="00FB2FDD" w:rsidRPr="00FB2FDD">
        <w:rPr>
          <w:lang w:eastAsia="en-GB"/>
        </w:rPr>
        <w:t xml:space="preserve"> policy design, coordination and implementation, and ensuring compliance of everything</w:t>
      </w:r>
      <w:r w:rsidR="00FB2FDD">
        <w:rPr>
          <w:lang w:eastAsia="en-GB"/>
        </w:rPr>
        <w:t>.</w:t>
      </w:r>
    </w:p>
    <w:p w14:paraId="3314D8F4" w14:textId="1CEE7BB4" w:rsidR="00B82792" w:rsidRPr="00FB2FDD" w:rsidRDefault="00B82792" w:rsidP="00FB2FDD">
      <w:pPr>
        <w:rPr>
          <w:rFonts w:cs="Arial"/>
          <w:lang w:eastAsia="en-GB"/>
        </w:rPr>
      </w:pPr>
      <w:r w:rsidRPr="00FB2FDD">
        <w:rPr>
          <w:rFonts w:cs="Arial"/>
          <w:lang w:eastAsia="en-GB"/>
        </w:rPr>
        <w:t xml:space="preserve">Australian Capital Territory’s food regulatory </w:t>
      </w:r>
      <w:r w:rsidR="00FF031F">
        <w:rPr>
          <w:rFonts w:cs="Arial"/>
          <w:lang w:eastAsia="en-GB"/>
        </w:rPr>
        <w:t>agencies</w:t>
      </w:r>
      <w:r w:rsidRPr="00FB2FDD">
        <w:rPr>
          <w:rFonts w:cs="Arial"/>
          <w:lang w:eastAsia="en-GB"/>
        </w:rPr>
        <w:t xml:space="preserve"> are:</w:t>
      </w:r>
    </w:p>
    <w:p w14:paraId="41D3D751" w14:textId="77777777" w:rsidR="00B82792" w:rsidRPr="00FB2FDD" w:rsidRDefault="00B82792" w:rsidP="000C52C6">
      <w:pPr>
        <w:pStyle w:val="FSBullet1"/>
        <w:rPr>
          <w:lang w:eastAsia="en-GB"/>
        </w:rPr>
      </w:pPr>
      <w:r w:rsidRPr="00FB2FDD">
        <w:rPr>
          <w:lang w:eastAsia="en-GB"/>
        </w:rPr>
        <w:t>Health Protection Service, whose responsibilities include</w:t>
      </w:r>
      <w:r w:rsidR="00FB2FDD" w:rsidRPr="00FB2FDD">
        <w:rPr>
          <w:lang w:eastAsia="en-GB"/>
        </w:rPr>
        <w:t xml:space="preserve"> policy design, coordination and implementation</w:t>
      </w:r>
      <w:r w:rsidR="00FB2FDD">
        <w:rPr>
          <w:lang w:eastAsia="en-GB"/>
        </w:rPr>
        <w:t>,</w:t>
      </w:r>
      <w:r w:rsidR="00FB2FDD" w:rsidRPr="00FB2FDD">
        <w:rPr>
          <w:lang w:eastAsia="en-GB"/>
        </w:rPr>
        <w:t xml:space="preserve"> ensuring </w:t>
      </w:r>
      <w:r w:rsidR="00FB2FDD">
        <w:rPr>
          <w:lang w:eastAsia="en-GB"/>
        </w:rPr>
        <w:t>c</w:t>
      </w:r>
      <w:r w:rsidR="00FB2FDD" w:rsidRPr="00FB2FDD">
        <w:rPr>
          <w:lang w:eastAsia="en-GB"/>
        </w:rPr>
        <w:t>ompliance of everything</w:t>
      </w:r>
      <w:r w:rsidR="00FB2FDD">
        <w:rPr>
          <w:lang w:eastAsia="en-GB"/>
        </w:rPr>
        <w:t>.</w:t>
      </w:r>
    </w:p>
    <w:p w14:paraId="76F80D9F" w14:textId="040C6C5B" w:rsidR="00B82792" w:rsidRPr="00FB2FDD" w:rsidRDefault="00B82792" w:rsidP="00B82792">
      <w:pPr>
        <w:rPr>
          <w:rFonts w:cs="Arial"/>
          <w:lang w:eastAsia="en-GB"/>
        </w:rPr>
      </w:pPr>
      <w:r w:rsidRPr="00FB2FDD">
        <w:rPr>
          <w:rFonts w:cs="Arial"/>
          <w:lang w:eastAsia="en-GB"/>
        </w:rPr>
        <w:t xml:space="preserve">Commonwealth Government of Australia’s food regulatory </w:t>
      </w:r>
      <w:r w:rsidR="00FF031F">
        <w:rPr>
          <w:rFonts w:cs="Arial"/>
          <w:lang w:eastAsia="en-GB"/>
        </w:rPr>
        <w:t>agencies</w:t>
      </w:r>
      <w:r w:rsidRPr="00FB2FDD">
        <w:rPr>
          <w:rFonts w:cs="Arial"/>
          <w:lang w:eastAsia="en-GB"/>
        </w:rPr>
        <w:t xml:space="preserve"> are:</w:t>
      </w:r>
    </w:p>
    <w:p w14:paraId="252F8CBE" w14:textId="6BA588DE" w:rsidR="00B82792" w:rsidRPr="00FB2FDD" w:rsidRDefault="00B21BAF" w:rsidP="000C52C6">
      <w:pPr>
        <w:pStyle w:val="FSBullet1"/>
        <w:rPr>
          <w:lang w:eastAsia="en-GB"/>
        </w:rPr>
      </w:pPr>
      <w:r>
        <w:t>Department of Agriculture and Water Resources</w:t>
      </w:r>
      <w:r w:rsidR="00B82792" w:rsidRPr="00FB2FDD">
        <w:rPr>
          <w:lang w:eastAsia="en-GB"/>
        </w:rPr>
        <w:t>, whose responsibilities include</w:t>
      </w:r>
      <w:r w:rsidR="00FB2FDD" w:rsidRPr="00FB2FDD">
        <w:rPr>
          <w:lang w:eastAsia="en-GB"/>
        </w:rPr>
        <w:t xml:space="preserve"> ensuring </w:t>
      </w:r>
      <w:r w:rsidR="00FB2FDD">
        <w:rPr>
          <w:lang w:eastAsia="en-GB"/>
        </w:rPr>
        <w:t>c</w:t>
      </w:r>
      <w:r w:rsidR="00FB2FDD" w:rsidRPr="00FB2FDD">
        <w:rPr>
          <w:lang w:eastAsia="en-GB"/>
        </w:rPr>
        <w:t>ompliance of imported food</w:t>
      </w:r>
      <w:r w:rsidR="00FB2FDD">
        <w:rPr>
          <w:lang w:eastAsia="en-GB"/>
        </w:rPr>
        <w:t>.</w:t>
      </w:r>
    </w:p>
    <w:p w14:paraId="2C3711CB" w14:textId="48809420" w:rsidR="00B82792" w:rsidRPr="00FB2FDD" w:rsidRDefault="00B82792" w:rsidP="00B82792">
      <w:pPr>
        <w:rPr>
          <w:rFonts w:cs="Arial"/>
          <w:lang w:eastAsia="en-GB"/>
        </w:rPr>
      </w:pPr>
      <w:r w:rsidRPr="00FB2FDD">
        <w:rPr>
          <w:rFonts w:cs="Arial"/>
          <w:lang w:eastAsia="en-GB"/>
        </w:rPr>
        <w:t xml:space="preserve">New Zealand’s food regulatory </w:t>
      </w:r>
      <w:r w:rsidR="00FF031F">
        <w:rPr>
          <w:rFonts w:cs="Arial"/>
          <w:lang w:eastAsia="en-GB"/>
        </w:rPr>
        <w:t>agencies</w:t>
      </w:r>
      <w:r w:rsidRPr="00FB2FDD">
        <w:rPr>
          <w:rFonts w:cs="Arial"/>
          <w:lang w:eastAsia="en-GB"/>
        </w:rPr>
        <w:t xml:space="preserve"> are:</w:t>
      </w:r>
    </w:p>
    <w:p w14:paraId="57B25822" w14:textId="77777777" w:rsidR="00B82792" w:rsidRPr="00FB2FDD" w:rsidRDefault="00B82792" w:rsidP="000C52C6">
      <w:pPr>
        <w:pStyle w:val="FSBullet1"/>
        <w:rPr>
          <w:lang w:eastAsia="en-GB"/>
        </w:rPr>
      </w:pPr>
      <w:r w:rsidRPr="00FB2FDD">
        <w:rPr>
          <w:lang w:eastAsia="en-GB"/>
        </w:rPr>
        <w:t xml:space="preserve">Ministry for Primary Industries (MPI), whose responsibilities include </w:t>
      </w:r>
      <w:r w:rsidR="00FB2FDD">
        <w:rPr>
          <w:lang w:eastAsia="en-GB"/>
        </w:rPr>
        <w:t>p</w:t>
      </w:r>
      <w:r w:rsidR="00FB2FDD" w:rsidRPr="00FB2FDD">
        <w:rPr>
          <w:lang w:eastAsia="en-GB"/>
        </w:rPr>
        <w:t>olicy design, coordination and implementation</w:t>
      </w:r>
      <w:r w:rsidR="00FB2FDD">
        <w:rPr>
          <w:lang w:eastAsia="en-GB"/>
        </w:rPr>
        <w:t>, and</w:t>
      </w:r>
      <w:r w:rsidR="00FB2FDD" w:rsidRPr="00FB2FDD">
        <w:rPr>
          <w:lang w:eastAsia="en-GB"/>
        </w:rPr>
        <w:t xml:space="preserve"> ensuring </w:t>
      </w:r>
      <w:r w:rsidR="00FB2FDD">
        <w:rPr>
          <w:lang w:eastAsia="en-GB"/>
        </w:rPr>
        <w:t>c</w:t>
      </w:r>
      <w:r w:rsidR="00FB2FDD" w:rsidRPr="00FB2FDD">
        <w:rPr>
          <w:lang w:eastAsia="en-GB"/>
        </w:rPr>
        <w:t>ompliance of everything</w:t>
      </w:r>
      <w:r w:rsidR="001C7C1A">
        <w:rPr>
          <w:lang w:eastAsia="en-GB"/>
        </w:rPr>
        <w:t>.</w:t>
      </w:r>
    </w:p>
    <w:p w14:paraId="6FEC03D0" w14:textId="77777777" w:rsidR="0050467E" w:rsidRPr="00221A5E" w:rsidRDefault="00B82792" w:rsidP="000C52C6">
      <w:pPr>
        <w:pStyle w:val="FSBullet1"/>
      </w:pPr>
      <w:r w:rsidRPr="00FB2FDD">
        <w:rPr>
          <w:lang w:eastAsia="en-GB"/>
        </w:rPr>
        <w:t>Local councils, whose responsibilities include</w:t>
      </w:r>
      <w:r w:rsidR="00FB2FDD" w:rsidRPr="00FB2FDD">
        <w:rPr>
          <w:lang w:eastAsia="en-GB"/>
        </w:rPr>
        <w:t xml:space="preserve"> </w:t>
      </w:r>
      <w:r w:rsidR="005778C8" w:rsidRPr="00FB2FDD">
        <w:rPr>
          <w:lang w:eastAsia="en-GB"/>
        </w:rPr>
        <w:t xml:space="preserve">ensuring </w:t>
      </w:r>
      <w:r w:rsidR="005778C8">
        <w:rPr>
          <w:lang w:eastAsia="en-GB"/>
        </w:rPr>
        <w:t>c</w:t>
      </w:r>
      <w:r w:rsidR="00FB2FDD" w:rsidRPr="00FB2FDD">
        <w:rPr>
          <w:lang w:eastAsia="en-GB"/>
        </w:rPr>
        <w:t>ompliance of retail</w:t>
      </w:r>
      <w:r w:rsidR="005778C8">
        <w:rPr>
          <w:lang w:eastAsia="en-GB"/>
        </w:rPr>
        <w:t>.</w:t>
      </w:r>
    </w:p>
    <w:p w14:paraId="4C5B3F3E" w14:textId="77777777" w:rsidR="00221A5E" w:rsidRDefault="00221A5E">
      <w:pPr>
        <w:spacing w:after="0"/>
        <w:rPr>
          <w:rFonts w:ascii="Verdana" w:eastAsiaTheme="majorEastAsia" w:hAnsi="Verdana" w:cstheme="majorBidi"/>
          <w:b/>
          <w:bCs/>
          <w:sz w:val="36"/>
          <w:szCs w:val="28"/>
          <w:lang w:eastAsia="en-AU"/>
        </w:rPr>
      </w:pPr>
      <w:bookmarkStart w:id="68" w:name="_Toc470000018"/>
      <w:r>
        <w:rPr>
          <w:lang w:eastAsia="en-AU"/>
        </w:rPr>
        <w:br w:type="page"/>
      </w:r>
    </w:p>
    <w:p w14:paraId="639610F4" w14:textId="77777777" w:rsidR="00A94CAE" w:rsidRDefault="00966AFD" w:rsidP="00595231">
      <w:pPr>
        <w:pStyle w:val="Heading1"/>
        <w:rPr>
          <w:lang w:eastAsia="en-AU"/>
        </w:rPr>
      </w:pPr>
      <w:bookmarkStart w:id="69" w:name="_Toc482357211"/>
      <w:r>
        <w:rPr>
          <w:lang w:eastAsia="en-AU"/>
        </w:rPr>
        <w:lastRenderedPageBreak/>
        <w:t>Appendix 3</w:t>
      </w:r>
      <w:r w:rsidR="00A94CAE">
        <w:rPr>
          <w:lang w:eastAsia="en-AU"/>
        </w:rPr>
        <w:t xml:space="preserve"> – Survey Participants</w:t>
      </w:r>
      <w:bookmarkEnd w:id="68"/>
      <w:bookmarkEnd w:id="69"/>
    </w:p>
    <w:p w14:paraId="0F153BE8" w14:textId="77777777" w:rsidR="00E97763" w:rsidRPr="00E97763" w:rsidRDefault="00E97763" w:rsidP="00E97763">
      <w:pPr>
        <w:rPr>
          <w:lang w:eastAsia="en-AU"/>
        </w:rPr>
      </w:pPr>
      <w:r w:rsidRPr="00E97763">
        <w:rPr>
          <w:lang w:eastAsia="en-AU"/>
        </w:rPr>
        <w:t>New South Wales</w:t>
      </w:r>
      <w:r>
        <w:rPr>
          <w:lang w:eastAsia="en-AU"/>
        </w:rPr>
        <w:t xml:space="preserve"> participants:</w:t>
      </w:r>
    </w:p>
    <w:p w14:paraId="3CA7EFE6" w14:textId="77777777" w:rsidR="00E97763" w:rsidRPr="00E97763" w:rsidRDefault="00E97763" w:rsidP="000C52C6">
      <w:pPr>
        <w:pStyle w:val="FSBullet1"/>
        <w:rPr>
          <w:lang w:eastAsia="en-AU"/>
        </w:rPr>
      </w:pPr>
      <w:r w:rsidRPr="00E97763">
        <w:rPr>
          <w:lang w:eastAsia="en-AU"/>
        </w:rPr>
        <w:t>NSW Food Authority</w:t>
      </w:r>
    </w:p>
    <w:p w14:paraId="11AB2260" w14:textId="77777777" w:rsidR="00E97763" w:rsidRPr="00E97763" w:rsidRDefault="00E97763" w:rsidP="000C52C6">
      <w:pPr>
        <w:pStyle w:val="FSBullet1"/>
        <w:rPr>
          <w:lang w:eastAsia="en-AU"/>
        </w:rPr>
      </w:pPr>
      <w:r w:rsidRPr="00E97763">
        <w:rPr>
          <w:lang w:eastAsia="en-AU"/>
        </w:rPr>
        <w:t>Bega Valley Shire Council</w:t>
      </w:r>
    </w:p>
    <w:p w14:paraId="6D526BDA" w14:textId="77777777" w:rsidR="00E97763" w:rsidRPr="00E97763" w:rsidRDefault="00E97763" w:rsidP="000C52C6">
      <w:pPr>
        <w:pStyle w:val="FSBullet1"/>
        <w:rPr>
          <w:lang w:eastAsia="en-AU"/>
        </w:rPr>
      </w:pPr>
      <w:r w:rsidRPr="00E97763">
        <w:rPr>
          <w:lang w:eastAsia="en-AU"/>
        </w:rPr>
        <w:t>City of Sydney Council</w:t>
      </w:r>
    </w:p>
    <w:p w14:paraId="0E008621" w14:textId="77777777" w:rsidR="00E97763" w:rsidRPr="00E97763" w:rsidRDefault="00E97763" w:rsidP="00E97763">
      <w:pPr>
        <w:rPr>
          <w:lang w:eastAsia="en-AU"/>
        </w:rPr>
      </w:pPr>
      <w:r w:rsidRPr="00E97763">
        <w:rPr>
          <w:lang w:eastAsia="en-AU"/>
        </w:rPr>
        <w:t>Victoria</w:t>
      </w:r>
      <w:r>
        <w:rPr>
          <w:lang w:eastAsia="en-AU"/>
        </w:rPr>
        <w:t xml:space="preserve"> participants:</w:t>
      </w:r>
    </w:p>
    <w:p w14:paraId="4526643F" w14:textId="77777777" w:rsidR="00E97763" w:rsidRPr="00E97763" w:rsidRDefault="00E97763" w:rsidP="000C52C6">
      <w:pPr>
        <w:pStyle w:val="FSBullet1"/>
        <w:rPr>
          <w:lang w:eastAsia="en-AU"/>
        </w:rPr>
      </w:pPr>
      <w:r w:rsidRPr="00E97763">
        <w:rPr>
          <w:lang w:eastAsia="en-AU"/>
        </w:rPr>
        <w:t xml:space="preserve">Department of Economic Development, Jobs, Transport and Resources </w:t>
      </w:r>
    </w:p>
    <w:p w14:paraId="6CE0B0EE" w14:textId="77777777" w:rsidR="00E97763" w:rsidRPr="00E97763" w:rsidRDefault="00E97763" w:rsidP="000C52C6">
      <w:pPr>
        <w:pStyle w:val="FSBullet1"/>
        <w:rPr>
          <w:lang w:eastAsia="en-AU"/>
        </w:rPr>
      </w:pPr>
      <w:r w:rsidRPr="00E97763">
        <w:rPr>
          <w:lang w:eastAsia="en-AU"/>
        </w:rPr>
        <w:t>Department of Health and Human Services (Food Safety Unit)</w:t>
      </w:r>
    </w:p>
    <w:p w14:paraId="02F097D2" w14:textId="77777777" w:rsidR="00E97763" w:rsidRPr="00E97763" w:rsidRDefault="00E97763" w:rsidP="000C52C6">
      <w:pPr>
        <w:pStyle w:val="FSBullet1"/>
        <w:rPr>
          <w:lang w:eastAsia="en-AU"/>
        </w:rPr>
      </w:pPr>
      <w:r w:rsidRPr="00E97763">
        <w:rPr>
          <w:lang w:eastAsia="en-AU"/>
        </w:rPr>
        <w:t>Primesafe</w:t>
      </w:r>
    </w:p>
    <w:p w14:paraId="62FD026B" w14:textId="77777777" w:rsidR="00E97763" w:rsidRPr="00E97763" w:rsidRDefault="00E97763" w:rsidP="000C52C6">
      <w:pPr>
        <w:pStyle w:val="FSBullet1"/>
        <w:rPr>
          <w:lang w:eastAsia="en-AU"/>
        </w:rPr>
      </w:pPr>
      <w:r w:rsidRPr="00E97763">
        <w:rPr>
          <w:lang w:eastAsia="en-AU"/>
        </w:rPr>
        <w:t>Dairy Food Safety Victoria</w:t>
      </w:r>
    </w:p>
    <w:p w14:paraId="1F52A661" w14:textId="77777777" w:rsidR="00E97763" w:rsidRPr="00E97763" w:rsidRDefault="00E97763" w:rsidP="000C52C6">
      <w:pPr>
        <w:pStyle w:val="FSBullet1"/>
        <w:rPr>
          <w:lang w:eastAsia="en-AU"/>
        </w:rPr>
      </w:pPr>
      <w:r w:rsidRPr="00E97763">
        <w:rPr>
          <w:lang w:eastAsia="en-AU"/>
        </w:rPr>
        <w:t>Knox City Council</w:t>
      </w:r>
    </w:p>
    <w:p w14:paraId="40C5AA1C" w14:textId="77777777" w:rsidR="00E97763" w:rsidRPr="00E97763" w:rsidRDefault="00E97763" w:rsidP="000C52C6">
      <w:pPr>
        <w:pStyle w:val="FSBullet1"/>
        <w:rPr>
          <w:lang w:eastAsia="en-AU"/>
        </w:rPr>
      </w:pPr>
      <w:r w:rsidRPr="00E97763">
        <w:rPr>
          <w:lang w:eastAsia="en-AU"/>
        </w:rPr>
        <w:t>Corangamite Shire Council</w:t>
      </w:r>
    </w:p>
    <w:p w14:paraId="7A1BC9F6" w14:textId="77777777" w:rsidR="00E97763" w:rsidRPr="00E97763" w:rsidRDefault="00E97763" w:rsidP="00E97763">
      <w:pPr>
        <w:rPr>
          <w:lang w:eastAsia="en-AU"/>
        </w:rPr>
      </w:pPr>
      <w:r w:rsidRPr="00E97763">
        <w:rPr>
          <w:lang w:eastAsia="en-AU"/>
        </w:rPr>
        <w:t>Queensland</w:t>
      </w:r>
      <w:r>
        <w:rPr>
          <w:lang w:eastAsia="en-AU"/>
        </w:rPr>
        <w:t xml:space="preserve"> participants:</w:t>
      </w:r>
    </w:p>
    <w:p w14:paraId="171FE1C0" w14:textId="77777777" w:rsidR="00E97763" w:rsidRPr="00E97763" w:rsidRDefault="00E97763" w:rsidP="000C52C6">
      <w:pPr>
        <w:pStyle w:val="FSBullet1"/>
        <w:rPr>
          <w:lang w:eastAsia="en-AU"/>
        </w:rPr>
      </w:pPr>
      <w:r w:rsidRPr="00E97763">
        <w:rPr>
          <w:lang w:eastAsia="en-AU"/>
        </w:rPr>
        <w:t>Safe Food Production Queensland</w:t>
      </w:r>
    </w:p>
    <w:p w14:paraId="3D242E22" w14:textId="77777777" w:rsidR="00E97763" w:rsidRPr="00E97763" w:rsidRDefault="00E97763" w:rsidP="000C52C6">
      <w:pPr>
        <w:pStyle w:val="FSBullet1"/>
        <w:rPr>
          <w:lang w:eastAsia="en-AU"/>
        </w:rPr>
      </w:pPr>
      <w:r w:rsidRPr="00E97763">
        <w:rPr>
          <w:lang w:eastAsia="en-AU"/>
        </w:rPr>
        <w:t>Brisbane City Council</w:t>
      </w:r>
    </w:p>
    <w:p w14:paraId="300AAEB6" w14:textId="77777777" w:rsidR="00E97763" w:rsidRPr="00E97763" w:rsidRDefault="00E97763" w:rsidP="000C52C6">
      <w:pPr>
        <w:pStyle w:val="FSBullet1"/>
        <w:rPr>
          <w:lang w:eastAsia="en-AU"/>
        </w:rPr>
      </w:pPr>
      <w:r w:rsidRPr="00E97763">
        <w:rPr>
          <w:lang w:eastAsia="en-AU"/>
        </w:rPr>
        <w:t xml:space="preserve">Burdekin Shire Council </w:t>
      </w:r>
    </w:p>
    <w:p w14:paraId="24DD4639" w14:textId="77777777" w:rsidR="00E97763" w:rsidRPr="00E97763" w:rsidRDefault="00E97763" w:rsidP="00E97763">
      <w:pPr>
        <w:rPr>
          <w:lang w:eastAsia="en-AU"/>
        </w:rPr>
      </w:pPr>
      <w:r w:rsidRPr="00E97763">
        <w:rPr>
          <w:lang w:eastAsia="en-AU"/>
        </w:rPr>
        <w:t>Western Australia</w:t>
      </w:r>
      <w:r>
        <w:rPr>
          <w:lang w:eastAsia="en-AU"/>
        </w:rPr>
        <w:t xml:space="preserve"> participants:</w:t>
      </w:r>
    </w:p>
    <w:p w14:paraId="57DBC4D5" w14:textId="77777777" w:rsidR="00E97763" w:rsidRPr="00E97763" w:rsidRDefault="00E97763" w:rsidP="000C52C6">
      <w:pPr>
        <w:pStyle w:val="FSBullet1"/>
        <w:rPr>
          <w:lang w:eastAsia="en-AU"/>
        </w:rPr>
      </w:pPr>
      <w:r w:rsidRPr="00E97763">
        <w:rPr>
          <w:lang w:eastAsia="en-AU"/>
        </w:rPr>
        <w:t>Food Unit (within Department of Health)</w:t>
      </w:r>
    </w:p>
    <w:p w14:paraId="251B0E33" w14:textId="77777777" w:rsidR="00E97763" w:rsidRPr="00E97763" w:rsidRDefault="00E97763" w:rsidP="000C52C6">
      <w:pPr>
        <w:pStyle w:val="FSBullet1"/>
        <w:rPr>
          <w:lang w:eastAsia="en-AU"/>
        </w:rPr>
      </w:pPr>
      <w:r w:rsidRPr="00E97763">
        <w:rPr>
          <w:lang w:eastAsia="en-AU"/>
        </w:rPr>
        <w:t>City of Cockburn Council</w:t>
      </w:r>
    </w:p>
    <w:p w14:paraId="19FC86CF" w14:textId="77777777" w:rsidR="00E97763" w:rsidRPr="00E97763" w:rsidRDefault="00E97763" w:rsidP="000C52C6">
      <w:pPr>
        <w:pStyle w:val="FSBullet1"/>
        <w:rPr>
          <w:lang w:eastAsia="en-AU"/>
        </w:rPr>
      </w:pPr>
      <w:r w:rsidRPr="00E97763">
        <w:rPr>
          <w:lang w:eastAsia="en-AU"/>
        </w:rPr>
        <w:t>Shire of Augusta Margaret River</w:t>
      </w:r>
    </w:p>
    <w:p w14:paraId="07CC633B" w14:textId="77777777" w:rsidR="00E97763" w:rsidRPr="00E97763" w:rsidRDefault="00E97763" w:rsidP="00E97763">
      <w:pPr>
        <w:rPr>
          <w:lang w:eastAsia="en-AU"/>
        </w:rPr>
      </w:pPr>
      <w:r w:rsidRPr="00E97763">
        <w:rPr>
          <w:lang w:eastAsia="en-AU"/>
        </w:rPr>
        <w:t>South Australia</w:t>
      </w:r>
      <w:r>
        <w:rPr>
          <w:lang w:eastAsia="en-AU"/>
        </w:rPr>
        <w:t xml:space="preserve"> participants:</w:t>
      </w:r>
    </w:p>
    <w:p w14:paraId="47079278" w14:textId="77777777" w:rsidR="00E97763" w:rsidRPr="000C52C6" w:rsidRDefault="00E97763" w:rsidP="000C52C6">
      <w:pPr>
        <w:pStyle w:val="FSBullet1"/>
      </w:pPr>
      <w:r w:rsidRPr="000C52C6">
        <w:t>Food Safety and Nutrition Branch (within SA Health)</w:t>
      </w:r>
    </w:p>
    <w:p w14:paraId="088ADCBD" w14:textId="77777777" w:rsidR="00E97763" w:rsidRPr="000C52C6" w:rsidRDefault="00E97763" w:rsidP="000C52C6">
      <w:pPr>
        <w:pStyle w:val="FSBullet1"/>
      </w:pPr>
      <w:r w:rsidRPr="000C52C6">
        <w:t>Biosecurity SA</w:t>
      </w:r>
    </w:p>
    <w:p w14:paraId="5242FBA7" w14:textId="77777777" w:rsidR="00E97763" w:rsidRPr="000C52C6" w:rsidRDefault="00E97763" w:rsidP="000C52C6">
      <w:pPr>
        <w:pStyle w:val="FSBullet1"/>
      </w:pPr>
      <w:r w:rsidRPr="000C52C6">
        <w:t>Dairy Authority of South Australia</w:t>
      </w:r>
    </w:p>
    <w:p w14:paraId="6EBD09F6" w14:textId="77777777" w:rsidR="00E97763" w:rsidRPr="000C52C6" w:rsidRDefault="00E97763" w:rsidP="000C52C6">
      <w:pPr>
        <w:pStyle w:val="FSBullet1"/>
      </w:pPr>
      <w:r w:rsidRPr="000C52C6">
        <w:t>Eastern Health Authority</w:t>
      </w:r>
    </w:p>
    <w:p w14:paraId="65340977" w14:textId="77777777" w:rsidR="00E97763" w:rsidRPr="000C52C6" w:rsidRDefault="00E97763" w:rsidP="000C52C6">
      <w:pPr>
        <w:pStyle w:val="FSBullet1"/>
      </w:pPr>
      <w:r w:rsidRPr="000C52C6">
        <w:t>Renmark Paringa Council</w:t>
      </w:r>
    </w:p>
    <w:p w14:paraId="185C180A" w14:textId="77777777" w:rsidR="00E97763" w:rsidRPr="00E97763" w:rsidRDefault="00E97763" w:rsidP="00E97763">
      <w:pPr>
        <w:rPr>
          <w:lang w:eastAsia="en-AU"/>
        </w:rPr>
      </w:pPr>
      <w:r w:rsidRPr="00E97763">
        <w:rPr>
          <w:lang w:eastAsia="en-AU"/>
        </w:rPr>
        <w:t>Tasmania</w:t>
      </w:r>
      <w:r>
        <w:rPr>
          <w:lang w:eastAsia="en-AU"/>
        </w:rPr>
        <w:t xml:space="preserve"> participants:</w:t>
      </w:r>
    </w:p>
    <w:p w14:paraId="2012EA23" w14:textId="77777777" w:rsidR="00E97763" w:rsidRPr="00E97763" w:rsidRDefault="00E97763" w:rsidP="000C52C6">
      <w:pPr>
        <w:pStyle w:val="FSBullet1"/>
        <w:rPr>
          <w:lang w:eastAsia="en-AU"/>
        </w:rPr>
      </w:pPr>
      <w:r w:rsidRPr="00E97763">
        <w:rPr>
          <w:lang w:eastAsia="en-AU"/>
        </w:rPr>
        <w:t>Food safety division (within the Department of Health and Human Services)</w:t>
      </w:r>
    </w:p>
    <w:p w14:paraId="10AD0487" w14:textId="77777777" w:rsidR="00E97763" w:rsidRPr="00E97763" w:rsidRDefault="00E97763" w:rsidP="000C52C6">
      <w:pPr>
        <w:pStyle w:val="FSBullet1"/>
        <w:rPr>
          <w:lang w:eastAsia="en-AU"/>
        </w:rPr>
      </w:pPr>
      <w:r w:rsidRPr="00E97763">
        <w:rPr>
          <w:lang w:eastAsia="en-AU"/>
        </w:rPr>
        <w:t>Biosecurity Tasmania (within the Department of Industries, Parks, Water and Environment)</w:t>
      </w:r>
    </w:p>
    <w:p w14:paraId="58937147" w14:textId="77777777" w:rsidR="00E97763" w:rsidRPr="00E97763" w:rsidRDefault="00E97763" w:rsidP="000C52C6">
      <w:pPr>
        <w:pStyle w:val="FSBullet1"/>
        <w:rPr>
          <w:lang w:eastAsia="en-AU"/>
        </w:rPr>
      </w:pPr>
      <w:r w:rsidRPr="00E97763">
        <w:rPr>
          <w:lang w:eastAsia="en-AU"/>
        </w:rPr>
        <w:t>Tasmanian Dairy Industry Authority</w:t>
      </w:r>
    </w:p>
    <w:p w14:paraId="2B6DA083" w14:textId="77777777" w:rsidR="00E97763" w:rsidRPr="00E97763" w:rsidRDefault="00E97763" w:rsidP="000C52C6">
      <w:pPr>
        <w:pStyle w:val="FSBullet1"/>
        <w:rPr>
          <w:lang w:eastAsia="en-AU"/>
        </w:rPr>
      </w:pPr>
      <w:r w:rsidRPr="00E97763">
        <w:rPr>
          <w:lang w:eastAsia="en-AU"/>
        </w:rPr>
        <w:t>City of Hobart Local Council</w:t>
      </w:r>
    </w:p>
    <w:p w14:paraId="27B394C3" w14:textId="77777777" w:rsidR="00E97763" w:rsidRPr="00E97763" w:rsidRDefault="00E97763" w:rsidP="000C52C6">
      <w:pPr>
        <w:pStyle w:val="FSBullet1"/>
        <w:rPr>
          <w:lang w:eastAsia="en-AU"/>
        </w:rPr>
      </w:pPr>
      <w:r w:rsidRPr="00E97763">
        <w:rPr>
          <w:lang w:eastAsia="en-AU"/>
        </w:rPr>
        <w:t>Meander Valley Council</w:t>
      </w:r>
    </w:p>
    <w:p w14:paraId="2F5EC825" w14:textId="77777777" w:rsidR="00E97763" w:rsidRPr="00E97763" w:rsidRDefault="00E97763" w:rsidP="000C52C6">
      <w:pPr>
        <w:pStyle w:val="FSBullet1"/>
        <w:rPr>
          <w:lang w:eastAsia="en-AU"/>
        </w:rPr>
      </w:pPr>
      <w:r w:rsidRPr="00E97763">
        <w:rPr>
          <w:lang w:eastAsia="en-AU"/>
        </w:rPr>
        <w:t>Glenorchy City Council</w:t>
      </w:r>
    </w:p>
    <w:p w14:paraId="6230FBF8" w14:textId="77777777" w:rsidR="00E97763" w:rsidRPr="00E97763" w:rsidRDefault="00E97763" w:rsidP="00E97763">
      <w:pPr>
        <w:rPr>
          <w:lang w:eastAsia="en-AU"/>
        </w:rPr>
      </w:pPr>
      <w:r w:rsidRPr="00E97763">
        <w:rPr>
          <w:lang w:eastAsia="en-AU"/>
        </w:rPr>
        <w:t>Australian Capital Territory</w:t>
      </w:r>
      <w:r>
        <w:rPr>
          <w:lang w:eastAsia="en-AU"/>
        </w:rPr>
        <w:t xml:space="preserve"> participants:</w:t>
      </w:r>
    </w:p>
    <w:p w14:paraId="0C3F52B5" w14:textId="77777777" w:rsidR="00E97763" w:rsidRPr="00E97763" w:rsidRDefault="00E97763" w:rsidP="000C52C6">
      <w:pPr>
        <w:pStyle w:val="FSBullet1"/>
        <w:rPr>
          <w:lang w:eastAsia="en-AU"/>
        </w:rPr>
      </w:pPr>
      <w:r w:rsidRPr="00E97763">
        <w:rPr>
          <w:lang w:eastAsia="en-AU"/>
        </w:rPr>
        <w:t>Health Protection Service</w:t>
      </w:r>
    </w:p>
    <w:p w14:paraId="745495A9" w14:textId="77777777" w:rsidR="00E97763" w:rsidRPr="00E97763" w:rsidRDefault="00E97763" w:rsidP="00E97763">
      <w:pPr>
        <w:rPr>
          <w:lang w:eastAsia="en-AU"/>
        </w:rPr>
      </w:pPr>
      <w:r w:rsidRPr="00E97763">
        <w:rPr>
          <w:lang w:eastAsia="en-AU"/>
        </w:rPr>
        <w:t>Commonwealth</w:t>
      </w:r>
      <w:r>
        <w:rPr>
          <w:lang w:eastAsia="en-AU"/>
        </w:rPr>
        <w:t xml:space="preserve"> participants:</w:t>
      </w:r>
    </w:p>
    <w:p w14:paraId="1895C852" w14:textId="0723D31D" w:rsidR="008525B4" w:rsidRDefault="00B21BAF" w:rsidP="00EA2426">
      <w:pPr>
        <w:pStyle w:val="ListParagraph"/>
        <w:numPr>
          <w:ilvl w:val="0"/>
          <w:numId w:val="31"/>
        </w:numPr>
        <w:rPr>
          <w:lang w:eastAsia="en-AU"/>
        </w:rPr>
      </w:pPr>
      <w:r>
        <w:t xml:space="preserve">Department of Agriculture and Water Resources </w:t>
      </w:r>
    </w:p>
    <w:p w14:paraId="4532A138" w14:textId="77777777" w:rsidR="007E594C" w:rsidRDefault="007E594C" w:rsidP="008525B4">
      <w:pPr>
        <w:rPr>
          <w:lang w:eastAsia="en-AU"/>
        </w:rPr>
      </w:pPr>
    </w:p>
    <w:p w14:paraId="425FBA5C" w14:textId="77777777" w:rsidR="007E594C" w:rsidRDefault="007E594C">
      <w:pPr>
        <w:spacing w:after="0"/>
        <w:rPr>
          <w:lang w:eastAsia="en-AU"/>
        </w:rPr>
      </w:pPr>
      <w:r>
        <w:rPr>
          <w:lang w:eastAsia="en-AU"/>
        </w:rPr>
        <w:br w:type="page"/>
      </w:r>
    </w:p>
    <w:p w14:paraId="6D7D2D2B" w14:textId="77777777" w:rsidR="007E594C" w:rsidRDefault="007E594C" w:rsidP="007E594C">
      <w:pPr>
        <w:pStyle w:val="Heading1"/>
        <w:rPr>
          <w:lang w:eastAsia="en-AU"/>
        </w:rPr>
      </w:pPr>
      <w:bookmarkStart w:id="70" w:name="_Toc482357212"/>
      <w:r>
        <w:rPr>
          <w:lang w:eastAsia="en-AU"/>
        </w:rPr>
        <w:lastRenderedPageBreak/>
        <w:t>Appendix 4 – Quantifying jurisdictions’ costs</w:t>
      </w:r>
      <w:bookmarkEnd w:id="70"/>
    </w:p>
    <w:p w14:paraId="763AAAFA" w14:textId="77777777" w:rsidR="00283CED" w:rsidRDefault="00283CED" w:rsidP="00283CED">
      <w:pPr>
        <w:pStyle w:val="Heading2"/>
      </w:pPr>
      <w:bookmarkStart w:id="71" w:name="_Toc482357213"/>
      <w:r>
        <w:t>Example 1; small review of existing standard</w:t>
      </w:r>
      <w:bookmarkEnd w:id="71"/>
    </w:p>
    <w:p w14:paraId="43BE2970" w14:textId="77777777" w:rsidR="00283CED" w:rsidRDefault="00B31028" w:rsidP="00283CED">
      <w:r>
        <w:t>In order to calculate the jurisdictions’ costs per year</w:t>
      </w:r>
      <w:r w:rsidR="00283CED">
        <w:t xml:space="preserve"> consider the activities that would be involved to introduce the revised standard into the jurisdictions’ food safety system. For example, in year one it may take:</w:t>
      </w:r>
    </w:p>
    <w:p w14:paraId="714887D3" w14:textId="77777777" w:rsidR="00B31028" w:rsidRPr="00283CED" w:rsidRDefault="00283CED" w:rsidP="000C52C6">
      <w:pPr>
        <w:pStyle w:val="FSBullet1"/>
      </w:pPr>
      <w:r w:rsidRPr="00283CED">
        <w:t>a week of staff time to attend meetings and provide input to developing the implementation plan for the new standard</w:t>
      </w:r>
    </w:p>
    <w:p w14:paraId="068F9734" w14:textId="77777777" w:rsidR="00283CED" w:rsidRPr="00283CED" w:rsidRDefault="00283CED" w:rsidP="000C52C6">
      <w:pPr>
        <w:pStyle w:val="FSBullet1"/>
      </w:pPr>
      <w:r w:rsidRPr="00283CED">
        <w:t>a week of staff time to incorporating the standard into existing administrative processes, such as updating computer databases</w:t>
      </w:r>
    </w:p>
    <w:p w14:paraId="4DA84895" w14:textId="77777777" w:rsidR="00283CED" w:rsidRPr="00283CED" w:rsidRDefault="00283CED" w:rsidP="000C52C6">
      <w:pPr>
        <w:pStyle w:val="FSBullet1"/>
      </w:pPr>
      <w:r w:rsidRPr="00283CED">
        <w:t>two staff days to review and update information guides for industry, and</w:t>
      </w:r>
    </w:p>
    <w:p w14:paraId="4BF559CA" w14:textId="77777777" w:rsidR="00283CED" w:rsidRDefault="00283CED" w:rsidP="000C52C6">
      <w:pPr>
        <w:pStyle w:val="FSBullet1"/>
      </w:pPr>
      <w:r w:rsidRPr="00283CED">
        <w:t>an email to all staff to inform them of the update</w:t>
      </w:r>
      <w:r>
        <w:t>.</w:t>
      </w:r>
    </w:p>
    <w:p w14:paraId="1E82762C" w14:textId="77777777" w:rsidR="00283CED" w:rsidRDefault="00283CED" w:rsidP="00283CED">
      <w:r>
        <w:t>Similar work may be undertaken in year two.</w:t>
      </w:r>
    </w:p>
    <w:p w14:paraId="0DFC3D05" w14:textId="77777777" w:rsidR="00283CED" w:rsidRDefault="00283CED" w:rsidP="00283CED">
      <w:r>
        <w:t>Business compliance with the new standard may be expected from year 4. Compliance may involve:</w:t>
      </w:r>
    </w:p>
    <w:p w14:paraId="20BDA3CA" w14:textId="77777777" w:rsidR="00283CED" w:rsidRDefault="00283CED" w:rsidP="000C52C6">
      <w:pPr>
        <w:pStyle w:val="FSBullet1"/>
      </w:pPr>
      <w:r>
        <w:t>an additional two hours with each affected business over the year during their routine audits or inspections.</w:t>
      </w:r>
    </w:p>
    <w:p w14:paraId="26412DFD" w14:textId="77777777" w:rsidR="00283CED" w:rsidRDefault="00283CED" w:rsidP="00283CED">
      <w:r>
        <w:t xml:space="preserve">Year </w:t>
      </w:r>
      <w:r w:rsidR="001710C6">
        <w:t>five</w:t>
      </w:r>
      <w:r>
        <w:t xml:space="preserve"> may involve and additional one hour over the year spent with businesses, although after the businesses had fully integrated the updated standard requirements into their systems, additional time may not be required. </w:t>
      </w:r>
    </w:p>
    <w:p w14:paraId="2D8DFFD4" w14:textId="77777777" w:rsidR="00283CED" w:rsidRPr="00283CED" w:rsidRDefault="0075115F" w:rsidP="00283CED">
      <w:r>
        <w:t>Quantifying a situation such as this may look similar to the below Figure 9 for one jurisdiction.</w:t>
      </w:r>
    </w:p>
    <w:p w14:paraId="3B9C3558" w14:textId="77777777" w:rsidR="00A11A9E" w:rsidRDefault="009706B1" w:rsidP="00B31028">
      <w:pPr>
        <w:keepNext/>
        <w:rPr>
          <w:lang w:eastAsia="en-AU"/>
        </w:rPr>
      </w:pPr>
      <w:r>
        <w:rPr>
          <w:noProof/>
          <w:lang w:val="en-GB" w:eastAsia="en-GB"/>
        </w:rPr>
        <w:lastRenderedPageBreak/>
        <w:drawing>
          <wp:inline distT="0" distB="0" distL="0" distR="0" wp14:anchorId="34E2D4C9" wp14:editId="7D09EA6C">
            <wp:extent cx="5759450" cy="7756798"/>
            <wp:effectExtent l="0" t="0" r="0" b="0"/>
            <wp:docPr id="21" name="Picture 21" descr="snapshot of Costing tool" title="Figure 9. Costing tool example with no ongoing co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759450" cy="7756798"/>
                    </a:xfrm>
                    <a:prstGeom prst="rect">
                      <a:avLst/>
                    </a:prstGeom>
                  </pic:spPr>
                </pic:pic>
              </a:graphicData>
            </a:graphic>
          </wp:inline>
        </w:drawing>
      </w:r>
    </w:p>
    <w:p w14:paraId="72B735D3" w14:textId="77777777" w:rsidR="00835385" w:rsidRPr="00F427C8" w:rsidRDefault="00835385" w:rsidP="00835385">
      <w:pPr>
        <w:pStyle w:val="FSCaption"/>
        <w:rPr>
          <w:sz w:val="22"/>
        </w:rPr>
      </w:pPr>
      <w:r w:rsidRPr="00F427C8">
        <w:rPr>
          <w:sz w:val="22"/>
        </w:rPr>
        <w:t xml:space="preserve">Figure </w:t>
      </w:r>
      <w:r>
        <w:rPr>
          <w:sz w:val="22"/>
        </w:rPr>
        <w:t>9</w:t>
      </w:r>
      <w:r w:rsidRPr="00F427C8">
        <w:rPr>
          <w:sz w:val="22"/>
        </w:rPr>
        <w:t xml:space="preserve">. </w:t>
      </w:r>
      <w:r>
        <w:rPr>
          <w:sz w:val="22"/>
        </w:rPr>
        <w:t xml:space="preserve">Costing tool example with </w:t>
      </w:r>
      <w:r w:rsidR="00F4395D">
        <w:rPr>
          <w:sz w:val="22"/>
        </w:rPr>
        <w:t xml:space="preserve">no </w:t>
      </w:r>
      <w:r>
        <w:rPr>
          <w:sz w:val="22"/>
        </w:rPr>
        <w:t>ongoing costs.</w:t>
      </w:r>
    </w:p>
    <w:p w14:paraId="7998DD14" w14:textId="77777777" w:rsidR="00501E17" w:rsidRDefault="00501E17" w:rsidP="00501E17"/>
    <w:p w14:paraId="78664B2A" w14:textId="77777777" w:rsidR="00501E17" w:rsidRDefault="00501E17" w:rsidP="00501E17">
      <w:pPr>
        <w:rPr>
          <w:rFonts w:ascii="Verdana" w:eastAsiaTheme="majorEastAsia" w:hAnsi="Verdana" w:cs="Arial"/>
          <w:sz w:val="28"/>
        </w:rPr>
      </w:pPr>
      <w:r>
        <w:br w:type="page"/>
      </w:r>
    </w:p>
    <w:p w14:paraId="075E70B0" w14:textId="77777777" w:rsidR="00501E17" w:rsidRDefault="00501E17" w:rsidP="00501E17">
      <w:pPr>
        <w:pStyle w:val="Heading2"/>
      </w:pPr>
      <w:bookmarkStart w:id="72" w:name="_Toc482357214"/>
      <w:r>
        <w:lastRenderedPageBreak/>
        <w:t xml:space="preserve">Example </w:t>
      </w:r>
      <w:r w:rsidR="00A81973">
        <w:t>2</w:t>
      </w:r>
      <w:r>
        <w:t xml:space="preserve">; </w:t>
      </w:r>
      <w:r w:rsidR="00A81973">
        <w:t>new standard</w:t>
      </w:r>
      <w:bookmarkEnd w:id="72"/>
    </w:p>
    <w:p w14:paraId="4D15CF1A" w14:textId="77777777" w:rsidR="00A57030" w:rsidRPr="00A57030" w:rsidRDefault="00653888" w:rsidP="00A57030">
      <w:r>
        <w:t>If introducing a new standard means that a business or industry would be newly captured in the jurisdiction’s food safety scheme then all ongoing costs should be captured in the CBA. This may look like the below example where the annual verification of compliance (e.g. audit or inspection) is calculated from year six onwards.</w:t>
      </w:r>
    </w:p>
    <w:p w14:paraId="58B6F701" w14:textId="77777777" w:rsidR="005B7DED" w:rsidRPr="008525B4" w:rsidRDefault="00A57030" w:rsidP="008525B4">
      <w:pPr>
        <w:rPr>
          <w:lang w:eastAsia="en-AU"/>
        </w:rPr>
      </w:pPr>
      <w:r>
        <w:rPr>
          <w:noProof/>
          <w:lang w:val="en-GB" w:eastAsia="en-GB"/>
        </w:rPr>
        <w:drawing>
          <wp:inline distT="0" distB="0" distL="0" distR="0" wp14:anchorId="00733569" wp14:editId="5ED4C081">
            <wp:extent cx="5759450" cy="5522550"/>
            <wp:effectExtent l="0" t="0" r="0" b="2540"/>
            <wp:docPr id="20" name="Picture 20" descr="Snapshot of Costing tool." title="Figure 10. Costing tool example with ongoing co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759450" cy="5522550"/>
                    </a:xfrm>
                    <a:prstGeom prst="rect">
                      <a:avLst/>
                    </a:prstGeom>
                  </pic:spPr>
                </pic:pic>
              </a:graphicData>
            </a:graphic>
          </wp:inline>
        </w:drawing>
      </w:r>
      <w:r w:rsidR="00E56325">
        <w:rPr>
          <w:noProof/>
          <w:lang w:val="en-GB" w:eastAsia="en-GB"/>
        </w:rPr>
        <w:t xml:space="preserve"> </w:t>
      </w:r>
      <w:r w:rsidR="00F4395D" w:rsidRPr="00F4395D">
        <w:t xml:space="preserve"> </w:t>
      </w:r>
      <w:r w:rsidR="00F4395D" w:rsidRPr="0001003E">
        <w:rPr>
          <w:i/>
          <w:szCs w:val="16"/>
        </w:rPr>
        <w:t xml:space="preserve">Figure </w:t>
      </w:r>
      <w:r w:rsidR="00A81973" w:rsidRPr="0001003E">
        <w:rPr>
          <w:i/>
          <w:szCs w:val="16"/>
        </w:rPr>
        <w:t>10</w:t>
      </w:r>
      <w:r w:rsidR="00F4395D" w:rsidRPr="0001003E">
        <w:rPr>
          <w:i/>
          <w:szCs w:val="16"/>
        </w:rPr>
        <w:t>. Costing tool example with ongoing costs</w:t>
      </w:r>
    </w:p>
    <w:sectPr w:rsidR="005B7DED" w:rsidRPr="008525B4" w:rsidSect="003E3006">
      <w:footerReference w:type="default" r:id="rId29"/>
      <w:pgSz w:w="11906" w:h="16838"/>
      <w:pgMar w:top="1418" w:right="1418" w:bottom="1418" w:left="1418" w:header="709" w:footer="709"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35C2FC" w15:done="0"/>
  <w15:commentEx w15:paraId="53861237" w15:done="0"/>
  <w15:commentEx w15:paraId="5975AB8F" w15:done="0"/>
  <w15:commentEx w15:paraId="12437627" w15:done="0"/>
  <w15:commentEx w15:paraId="41186A8B" w15:done="0"/>
  <w15:commentEx w15:paraId="60BC2F0F" w15:done="0"/>
  <w15:commentEx w15:paraId="2E66471D" w15:done="0"/>
  <w15:commentEx w15:paraId="24C2F642" w15:done="0"/>
  <w15:commentEx w15:paraId="666E09D5" w15:done="0"/>
  <w15:commentEx w15:paraId="267C11A3" w15:done="0"/>
  <w15:commentEx w15:paraId="00BD6B37" w15:done="0"/>
  <w15:commentEx w15:paraId="7DC6DE04" w15:done="0"/>
  <w15:commentEx w15:paraId="514032C5" w15:done="0"/>
  <w15:commentEx w15:paraId="26E88390" w15:done="0"/>
  <w15:commentEx w15:paraId="410BF68A" w15:done="0"/>
  <w15:commentEx w15:paraId="02FDF410" w15:done="0"/>
  <w15:commentEx w15:paraId="6388BAD0" w15:done="0"/>
  <w15:commentEx w15:paraId="0F73B5D4" w15:done="0"/>
  <w15:commentEx w15:paraId="65133E96" w15:done="0"/>
  <w15:commentEx w15:paraId="2E54DFA7" w15:done="0"/>
  <w15:commentEx w15:paraId="0914D75F" w15:done="0"/>
  <w15:commentEx w15:paraId="7F9718D8" w15:done="0"/>
  <w15:commentEx w15:paraId="62A125A8" w15:done="0"/>
  <w15:commentEx w15:paraId="5B2E7C5D" w15:done="0"/>
  <w15:commentEx w15:paraId="2165EFED" w15:done="0"/>
  <w15:commentEx w15:paraId="5EB21F67" w15:done="0"/>
  <w15:commentEx w15:paraId="726B971E" w15:done="0"/>
  <w15:commentEx w15:paraId="24915EE6" w15:done="0"/>
  <w15:commentEx w15:paraId="77F260EA" w15:done="0"/>
  <w15:commentEx w15:paraId="287CD62A" w15:done="0"/>
  <w15:commentEx w15:paraId="5830C520" w15:done="0"/>
  <w15:commentEx w15:paraId="62073B7C" w15:done="0"/>
  <w15:commentEx w15:paraId="4A81DC3D" w15:done="0"/>
  <w15:commentEx w15:paraId="72EAE1FB" w15:done="0"/>
  <w15:commentEx w15:paraId="37EC4183" w15:done="0"/>
  <w15:commentEx w15:paraId="7D9A04A5" w15:done="0"/>
  <w15:commentEx w15:paraId="18B127C7" w15:done="0"/>
  <w15:commentEx w15:paraId="5F4FBE41" w15:done="0"/>
  <w15:commentEx w15:paraId="1142AFF6" w15:done="0"/>
  <w15:commentEx w15:paraId="46653CDE" w15:done="0"/>
  <w15:commentEx w15:paraId="34DCFBF2" w15:done="0"/>
  <w15:commentEx w15:paraId="1CBA50F4" w15:done="0"/>
  <w15:commentEx w15:paraId="32C0528B" w15:done="0"/>
  <w15:commentEx w15:paraId="172B774A" w15:done="0"/>
  <w15:commentEx w15:paraId="798C0EB9" w15:done="0"/>
  <w15:commentEx w15:paraId="0D1DBB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9B57F" w14:textId="77777777" w:rsidR="004A6D71" w:rsidRDefault="004A6D71" w:rsidP="00D00428">
      <w:pPr>
        <w:spacing w:after="0"/>
      </w:pPr>
      <w:r>
        <w:separator/>
      </w:r>
    </w:p>
  </w:endnote>
  <w:endnote w:type="continuationSeparator" w:id="0">
    <w:p w14:paraId="1CE5C21B" w14:textId="77777777" w:rsidR="004A6D71" w:rsidRDefault="004A6D71" w:rsidP="00D00428">
      <w:pPr>
        <w:spacing w:after="0"/>
      </w:pPr>
      <w:r>
        <w:continuationSeparator/>
      </w:r>
    </w:p>
  </w:endnote>
  <w:endnote w:type="continuationNotice" w:id="1">
    <w:p w14:paraId="7EFAAB16" w14:textId="77777777" w:rsidR="004A6D71" w:rsidRDefault="004A6D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86180"/>
      <w:docPartObj>
        <w:docPartGallery w:val="Page Numbers (Bottom of Page)"/>
        <w:docPartUnique/>
      </w:docPartObj>
    </w:sdtPr>
    <w:sdtEndPr/>
    <w:sdtContent>
      <w:p w14:paraId="35653752" w14:textId="77777777" w:rsidR="004A6D71" w:rsidRDefault="004A6D71">
        <w:pPr>
          <w:pStyle w:val="Footer"/>
        </w:pPr>
        <w:r>
          <w:rPr>
            <w:noProof/>
            <w:lang w:val="en-GB" w:eastAsia="en-GB"/>
          </w:rPr>
          <mc:AlternateContent>
            <mc:Choice Requires="wps">
              <w:drawing>
                <wp:anchor distT="0" distB="0" distL="114300" distR="114300" simplePos="0" relativeHeight="251658241" behindDoc="0" locked="0" layoutInCell="1" allowOverlap="1" wp14:anchorId="2607EF58" wp14:editId="1975BD1E">
                  <wp:simplePos x="0" y="0"/>
                  <wp:positionH relativeFrom="margin">
                    <wp:align>center</wp:align>
                  </wp:positionH>
                  <wp:positionV relativeFrom="bottomMargin">
                    <wp:align>center</wp:align>
                  </wp:positionV>
                  <wp:extent cx="537210" cy="238760"/>
                  <wp:effectExtent l="19050" t="19050" r="14605" b="2794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 cy="238760"/>
                          </a:xfrm>
                          <a:prstGeom prst="bracketPair">
                            <a:avLst>
                              <a:gd name="adj" fmla="val 16667"/>
                            </a:avLst>
                          </a:prstGeom>
                          <a:solidFill>
                            <a:srgbClr val="FFFFFF"/>
                          </a:solidFill>
                          <a:ln w="28575">
                            <a:solidFill>
                              <a:srgbClr val="808080"/>
                            </a:solidFill>
                            <a:round/>
                            <a:headEnd/>
                            <a:tailEnd/>
                          </a:ln>
                        </wps:spPr>
                        <wps:txbx>
                          <w:txbxContent>
                            <w:p w14:paraId="182C13DE" w14:textId="77777777" w:rsidR="004A6D71" w:rsidRDefault="004A6D71">
                              <w:pPr>
                                <w:jc w:val="center"/>
                              </w:pPr>
                              <w:r>
                                <w:fldChar w:fldCharType="begin"/>
                              </w:r>
                              <w:r>
                                <w:instrText xml:space="preserve"> PAGE    \* MERGEFORMAT </w:instrText>
                              </w:r>
                              <w:r>
                                <w:fldChar w:fldCharType="separate"/>
                              </w:r>
                              <w:r w:rsidR="00CC4EA3">
                                <w:rPr>
                                  <w:noProof/>
                                </w:rPr>
                                <w:t>12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2.3pt;height:18.8pt;z-index:251658241;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" filled="t" strokecolor="gray" strokeweight="2.25pt">
                  <v:textbox inset=",0,,0">
                    <w:txbxContent>
                      <w:p w14:paraId="182C13DE" w14:textId="77777777" w:rsidR="004A6D71" w:rsidRDefault="004A6D71">
                        <w:pPr>
                          <w:jc w:val="center"/>
                        </w:pPr>
                        <w:r>
                          <w:fldChar w:fldCharType="begin"/>
                        </w:r>
                        <w:r>
                          <w:instrText xml:space="preserve"> PAGE    \* MERGEFORMAT </w:instrText>
                        </w:r>
                        <w:r>
                          <w:fldChar w:fldCharType="separate"/>
                        </w:r>
                        <w:r w:rsidR="00CC4EA3">
                          <w:rPr>
                            <w:noProof/>
                          </w:rPr>
                          <w:t>12</w:t>
                        </w:r>
                        <w:r>
                          <w:rPr>
                            <w:noProof/>
                          </w:rPr>
                          <w:fldChar w:fldCharType="end"/>
                        </w:r>
                      </w:p>
                    </w:txbxContent>
                  </v:textbox>
                  <w10:wrap anchorx="margin" anchory="margin"/>
                </v:shape>
              </w:pict>
            </mc:Fallback>
          </mc:AlternateContent>
        </w:r>
        <w:r>
          <w:rPr>
            <w:noProof/>
            <w:lang w:val="en-GB" w:eastAsia="en-GB"/>
          </w:rPr>
          <mc:AlternateContent>
            <mc:Choice Requires="wps">
              <w:drawing>
                <wp:anchor distT="4294967295" distB="4294967295" distL="114300" distR="114300" simplePos="0" relativeHeight="251658240" behindDoc="0" locked="0" layoutInCell="1" allowOverlap="1" wp14:anchorId="54E4D993" wp14:editId="6A7BC6A6">
                  <wp:simplePos x="0" y="0"/>
                  <wp:positionH relativeFrom="margin">
                    <wp:align>center</wp:align>
                  </wp:positionH>
                  <wp:positionV relativeFrom="bottomMargin">
                    <wp:align>center</wp:align>
                  </wp:positionV>
                  <wp:extent cx="5518150" cy="0"/>
                  <wp:effectExtent l="0" t="0" r="25400" b="1905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8240;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01D01" w14:textId="77777777" w:rsidR="004A6D71" w:rsidRDefault="004A6D71" w:rsidP="00D00428">
      <w:pPr>
        <w:spacing w:after="0"/>
      </w:pPr>
      <w:r>
        <w:separator/>
      </w:r>
    </w:p>
  </w:footnote>
  <w:footnote w:type="continuationSeparator" w:id="0">
    <w:p w14:paraId="18044FFA" w14:textId="77777777" w:rsidR="004A6D71" w:rsidRDefault="004A6D71" w:rsidP="00D00428">
      <w:pPr>
        <w:spacing w:after="0"/>
      </w:pPr>
      <w:r>
        <w:continuationSeparator/>
      </w:r>
    </w:p>
  </w:footnote>
  <w:footnote w:type="continuationNotice" w:id="1">
    <w:p w14:paraId="6B702531" w14:textId="77777777" w:rsidR="004A6D71" w:rsidRDefault="004A6D71">
      <w:pPr>
        <w:spacing w:after="0"/>
      </w:pPr>
    </w:p>
  </w:footnote>
  <w:footnote w:id="2">
    <w:p w14:paraId="2980BDE0" w14:textId="77777777" w:rsidR="004A6D71" w:rsidRDefault="004A6D71" w:rsidP="00480D94">
      <w:pPr>
        <w:pStyle w:val="FootnoteText"/>
      </w:pPr>
      <w:r>
        <w:rPr>
          <w:rStyle w:val="FootnoteReference"/>
        </w:rPr>
        <w:footnoteRef/>
      </w:r>
      <w:r>
        <w:t xml:space="preserve"> </w:t>
      </w:r>
      <w:hyperlink r:id="rId1" w:history="1">
        <w:r>
          <w:rPr>
            <w:rStyle w:val="Hyperlink"/>
          </w:rPr>
          <w:t>link to COAG regulatory impact guidelines</w:t>
        </w:r>
      </w:hyperlink>
    </w:p>
  </w:footnote>
  <w:footnote w:id="3">
    <w:p w14:paraId="4B00FF9C" w14:textId="77777777" w:rsidR="004A6D71" w:rsidRDefault="00CC4EA3">
      <w:pPr>
        <w:pStyle w:val="FootnoteText"/>
      </w:pPr>
      <w:hyperlink r:id="rId2" w:history="1">
        <w:r w:rsidR="004A6D71" w:rsidRPr="0084738A">
          <w:rPr>
            <w:rStyle w:val="Hyperlink"/>
            <w:vertAlign w:val="superscript"/>
          </w:rPr>
          <w:footnoteRef/>
        </w:r>
        <w:r w:rsidR="004A6D71" w:rsidRPr="0084738A">
          <w:rPr>
            <w:rStyle w:val="Hyperlink"/>
          </w:rPr>
          <w:t xml:space="preserve"> Link to COAG RIS preliminary assessment form</w:t>
        </w:r>
      </w:hyperlink>
    </w:p>
  </w:footnote>
  <w:footnote w:id="4">
    <w:p w14:paraId="005AD739" w14:textId="77777777" w:rsidR="004A6D71" w:rsidRDefault="004A6D71" w:rsidP="00DC0AC6">
      <w:pPr>
        <w:pStyle w:val="FootnoteText"/>
      </w:pPr>
      <w:r>
        <w:rPr>
          <w:rStyle w:val="FootnoteReference"/>
        </w:rPr>
        <w:footnoteRef/>
      </w:r>
      <w:r>
        <w:t xml:space="preserve"> </w:t>
      </w:r>
      <w:hyperlink r:id="rId3" w:history="1">
        <w:r>
          <w:rPr>
            <w:rStyle w:val="Hyperlink"/>
          </w:rPr>
          <w:t>link to FSANZ act.</w:t>
        </w:r>
      </w:hyperlink>
      <w:r>
        <w:t xml:space="preserve"> </w:t>
      </w:r>
    </w:p>
  </w:footnote>
  <w:footnote w:id="5">
    <w:p w14:paraId="37FF4720" w14:textId="77777777" w:rsidR="004A6D71" w:rsidRDefault="004A6D71">
      <w:pPr>
        <w:pStyle w:val="FootnoteText"/>
      </w:pPr>
      <w:r>
        <w:rPr>
          <w:rStyle w:val="FootnoteReference"/>
        </w:rPr>
        <w:footnoteRef/>
      </w:r>
      <w:r>
        <w:t xml:space="preserve"> Refer Appendix 3</w:t>
      </w:r>
    </w:p>
  </w:footnote>
  <w:footnote w:id="6">
    <w:p w14:paraId="575870EA" w14:textId="77777777" w:rsidR="004A6D71" w:rsidRDefault="004A6D71" w:rsidP="009C0D50">
      <w:pPr>
        <w:pStyle w:val="FootnoteText"/>
      </w:pPr>
      <w:r>
        <w:rPr>
          <w:rStyle w:val="FootnoteReference"/>
        </w:rPr>
        <w:footnoteRef/>
      </w:r>
      <w:r>
        <w:t xml:space="preserve"> Activity-based costing is a costing methodology that identifies all activities in an organisation. Cost per activity is then calculated by its consumption of resources.</w:t>
      </w:r>
    </w:p>
  </w:footnote>
  <w:footnote w:id="7">
    <w:p w14:paraId="76F0A482" w14:textId="77777777" w:rsidR="004A6D71" w:rsidRDefault="004A6D71" w:rsidP="00A94CAE">
      <w:pPr>
        <w:pStyle w:val="FootnoteText"/>
      </w:pPr>
      <w:r>
        <w:rPr>
          <w:rStyle w:val="FootnoteReference"/>
        </w:rPr>
        <w:footnoteRef/>
      </w:r>
      <w:r>
        <w:t xml:space="preserve"> 7% is the annual real discount rate that OBPR requires for the calculation of net present values. </w:t>
      </w:r>
      <w:hyperlink r:id="rId4" w:history="1">
        <w:r>
          <w:rPr>
            <w:rStyle w:val="Hyperlink"/>
          </w:rPr>
          <w:t>Link to Commonwealth cost benefit analysis guidelines</w:t>
        </w:r>
      </w:hyperlink>
    </w:p>
  </w:footnote>
  <w:footnote w:id="8">
    <w:p w14:paraId="08E417D3" w14:textId="77777777" w:rsidR="004A6D71" w:rsidRDefault="004A6D71" w:rsidP="00A94CAE">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7042"/>
    <w:multiLevelType w:val="hybridMultilevel"/>
    <w:tmpl w:val="EBBC4334"/>
    <w:lvl w:ilvl="0" w:tplc="0809000F">
      <w:start w:val="1"/>
      <w:numFmt w:val="decimal"/>
      <w:lvlText w:val="%1."/>
      <w:lvlJc w:val="left"/>
      <w:pPr>
        <w:ind w:left="927" w:hanging="360"/>
      </w:pPr>
      <w:rPr>
        <w:rFonts w:hint="default"/>
      </w:rPr>
    </w:lvl>
    <w:lvl w:ilvl="1" w:tplc="08090003">
      <w:start w:val="1"/>
      <w:numFmt w:val="bullet"/>
      <w:lvlText w:val="o"/>
      <w:lvlJc w:val="left"/>
      <w:pPr>
        <w:ind w:left="1429" w:hanging="360"/>
      </w:pPr>
      <w:rPr>
        <w:rFonts w:ascii="Courier New" w:hAnsi="Courier New" w:cs="Courier New" w:hint="default"/>
      </w:rPr>
    </w:lvl>
    <w:lvl w:ilvl="2" w:tplc="08090005">
      <w:start w:val="1"/>
      <w:numFmt w:val="bullet"/>
      <w:lvlText w:val=""/>
      <w:lvlJc w:val="left"/>
      <w:pPr>
        <w:ind w:left="2149" w:hanging="360"/>
      </w:pPr>
      <w:rPr>
        <w:rFonts w:ascii="Wingdings" w:hAnsi="Wingdings" w:hint="default"/>
      </w:rPr>
    </w:lvl>
    <w:lvl w:ilvl="3" w:tplc="08090001">
      <w:start w:val="1"/>
      <w:numFmt w:val="bullet"/>
      <w:lvlText w:val=""/>
      <w:lvlJc w:val="left"/>
      <w:pPr>
        <w:ind w:left="2869" w:hanging="360"/>
      </w:pPr>
      <w:rPr>
        <w:rFonts w:ascii="Symbol" w:hAnsi="Symbol" w:hint="default"/>
      </w:rPr>
    </w:lvl>
    <w:lvl w:ilvl="4" w:tplc="08090003">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
    <w:nsid w:val="09A414FD"/>
    <w:multiLevelType w:val="hybridMultilevel"/>
    <w:tmpl w:val="B27E0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384F02"/>
    <w:multiLevelType w:val="hybridMultilevel"/>
    <w:tmpl w:val="A1083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E22CC4"/>
    <w:multiLevelType w:val="hybridMultilevel"/>
    <w:tmpl w:val="1B38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8C393F"/>
    <w:multiLevelType w:val="hybridMultilevel"/>
    <w:tmpl w:val="E9061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4D1395"/>
    <w:multiLevelType w:val="hybridMultilevel"/>
    <w:tmpl w:val="E39A3842"/>
    <w:lvl w:ilvl="0" w:tplc="0809000F">
      <w:start w:val="1"/>
      <w:numFmt w:val="decimal"/>
      <w:lvlText w:val="%1."/>
      <w:lvlJc w:val="left"/>
      <w:pPr>
        <w:ind w:left="927" w:hanging="360"/>
      </w:pPr>
      <w:rPr>
        <w:rFonts w:hint="default"/>
      </w:rPr>
    </w:lvl>
    <w:lvl w:ilvl="1" w:tplc="08090003">
      <w:start w:val="1"/>
      <w:numFmt w:val="bullet"/>
      <w:lvlText w:val="o"/>
      <w:lvlJc w:val="left"/>
      <w:pPr>
        <w:ind w:left="1429" w:hanging="360"/>
      </w:pPr>
      <w:rPr>
        <w:rFonts w:ascii="Courier New" w:hAnsi="Courier New" w:cs="Courier New" w:hint="default"/>
      </w:rPr>
    </w:lvl>
    <w:lvl w:ilvl="2" w:tplc="08090005">
      <w:start w:val="1"/>
      <w:numFmt w:val="bullet"/>
      <w:lvlText w:val=""/>
      <w:lvlJc w:val="left"/>
      <w:pPr>
        <w:ind w:left="2149" w:hanging="360"/>
      </w:pPr>
      <w:rPr>
        <w:rFonts w:ascii="Wingdings" w:hAnsi="Wingdings" w:hint="default"/>
      </w:rPr>
    </w:lvl>
    <w:lvl w:ilvl="3" w:tplc="08090001">
      <w:start w:val="1"/>
      <w:numFmt w:val="bullet"/>
      <w:lvlText w:val=""/>
      <w:lvlJc w:val="left"/>
      <w:pPr>
        <w:ind w:left="2869" w:hanging="360"/>
      </w:pPr>
      <w:rPr>
        <w:rFonts w:ascii="Symbol" w:hAnsi="Symbol" w:hint="default"/>
      </w:rPr>
    </w:lvl>
    <w:lvl w:ilvl="4" w:tplc="08090003">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6">
    <w:nsid w:val="1EB23C08"/>
    <w:multiLevelType w:val="hybridMultilevel"/>
    <w:tmpl w:val="2612E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C23D7B"/>
    <w:multiLevelType w:val="hybridMultilevel"/>
    <w:tmpl w:val="AA10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FE1BFD"/>
    <w:multiLevelType w:val="hybridMultilevel"/>
    <w:tmpl w:val="C54C7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B07E06"/>
    <w:multiLevelType w:val="hybridMultilevel"/>
    <w:tmpl w:val="E61C8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FF6F95"/>
    <w:multiLevelType w:val="hybridMultilevel"/>
    <w:tmpl w:val="F5A2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19136F"/>
    <w:multiLevelType w:val="hybridMultilevel"/>
    <w:tmpl w:val="0C36F6EC"/>
    <w:lvl w:ilvl="0" w:tplc="403A6F2E">
      <w:start w:val="1"/>
      <w:numFmt w:val="decimal"/>
      <w:lvlText w:val="%1."/>
      <w:lvlJc w:val="left"/>
      <w:pPr>
        <w:ind w:left="720" w:hanging="360"/>
      </w:pPr>
      <w:rPr>
        <w:rFonts w:ascii="Arial" w:eastAsiaTheme="minorHAnsi"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2B214F"/>
    <w:multiLevelType w:val="hybridMultilevel"/>
    <w:tmpl w:val="23049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E6418F"/>
    <w:multiLevelType w:val="hybridMultilevel"/>
    <w:tmpl w:val="7E9CB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6D3CFB"/>
    <w:multiLevelType w:val="hybridMultilevel"/>
    <w:tmpl w:val="3DC4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FD5B1A"/>
    <w:multiLevelType w:val="hybridMultilevel"/>
    <w:tmpl w:val="8D84A2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4084487C"/>
    <w:multiLevelType w:val="hybridMultilevel"/>
    <w:tmpl w:val="DC1E1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57D0CA1"/>
    <w:multiLevelType w:val="hybridMultilevel"/>
    <w:tmpl w:val="7412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A41B68"/>
    <w:multiLevelType w:val="hybridMultilevel"/>
    <w:tmpl w:val="1A36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5A7E54"/>
    <w:multiLevelType w:val="hybridMultilevel"/>
    <w:tmpl w:val="8444C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7321EA"/>
    <w:multiLevelType w:val="hybridMultilevel"/>
    <w:tmpl w:val="7D5ED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C1972D9"/>
    <w:multiLevelType w:val="hybridMultilevel"/>
    <w:tmpl w:val="71E2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7D529F"/>
    <w:multiLevelType w:val="hybridMultilevel"/>
    <w:tmpl w:val="AFBC6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415AD4"/>
    <w:multiLevelType w:val="hybridMultilevel"/>
    <w:tmpl w:val="6F964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A73834"/>
    <w:multiLevelType w:val="hybridMultilevel"/>
    <w:tmpl w:val="DC42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755AD1"/>
    <w:multiLevelType w:val="hybridMultilevel"/>
    <w:tmpl w:val="0158FE22"/>
    <w:lvl w:ilvl="0" w:tplc="25B60C14">
      <w:start w:val="1"/>
      <w:numFmt w:val="bullet"/>
      <w:pStyle w:val="FSBullet1"/>
      <w:lvlText w:val=""/>
      <w:lvlJc w:val="left"/>
      <w:pPr>
        <w:ind w:left="927" w:hanging="360"/>
      </w:pPr>
      <w:rPr>
        <w:rFonts w:ascii="Symbol" w:hAnsi="Symbol" w:hint="default"/>
      </w:rPr>
    </w:lvl>
    <w:lvl w:ilvl="1" w:tplc="08090003">
      <w:start w:val="1"/>
      <w:numFmt w:val="bullet"/>
      <w:lvlText w:val="o"/>
      <w:lvlJc w:val="left"/>
      <w:pPr>
        <w:ind w:left="1429" w:hanging="360"/>
      </w:pPr>
      <w:rPr>
        <w:rFonts w:ascii="Courier New" w:hAnsi="Courier New" w:cs="Courier New" w:hint="default"/>
      </w:rPr>
    </w:lvl>
    <w:lvl w:ilvl="2" w:tplc="08090005">
      <w:start w:val="1"/>
      <w:numFmt w:val="bullet"/>
      <w:lvlText w:val=""/>
      <w:lvlJc w:val="left"/>
      <w:pPr>
        <w:ind w:left="2149" w:hanging="360"/>
      </w:pPr>
      <w:rPr>
        <w:rFonts w:ascii="Wingdings" w:hAnsi="Wingdings" w:hint="default"/>
      </w:rPr>
    </w:lvl>
    <w:lvl w:ilvl="3" w:tplc="08090001">
      <w:start w:val="1"/>
      <w:numFmt w:val="bullet"/>
      <w:lvlText w:val=""/>
      <w:lvlJc w:val="left"/>
      <w:pPr>
        <w:ind w:left="2869" w:hanging="360"/>
      </w:pPr>
      <w:rPr>
        <w:rFonts w:ascii="Symbol" w:hAnsi="Symbol" w:hint="default"/>
      </w:rPr>
    </w:lvl>
    <w:lvl w:ilvl="4" w:tplc="08090003">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8">
    <w:nsid w:val="71C72975"/>
    <w:multiLevelType w:val="multilevel"/>
    <w:tmpl w:val="62581E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nsid w:val="7A975265"/>
    <w:multiLevelType w:val="hybridMultilevel"/>
    <w:tmpl w:val="763C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E751881"/>
    <w:multiLevelType w:val="hybridMultilevel"/>
    <w:tmpl w:val="9C167D7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7"/>
  </w:num>
  <w:num w:numId="3">
    <w:abstractNumId w:val="22"/>
  </w:num>
  <w:num w:numId="4">
    <w:abstractNumId w:val="14"/>
  </w:num>
  <w:num w:numId="5">
    <w:abstractNumId w:val="16"/>
  </w:num>
  <w:num w:numId="6">
    <w:abstractNumId w:val="20"/>
  </w:num>
  <w:num w:numId="7">
    <w:abstractNumId w:val="21"/>
  </w:num>
  <w:num w:numId="8">
    <w:abstractNumId w:val="15"/>
  </w:num>
  <w:num w:numId="9">
    <w:abstractNumId w:val="23"/>
  </w:num>
  <w:num w:numId="10">
    <w:abstractNumId w:val="11"/>
  </w:num>
  <w:num w:numId="11">
    <w:abstractNumId w:val="2"/>
  </w:num>
  <w:num w:numId="12">
    <w:abstractNumId w:val="28"/>
  </w:num>
  <w:num w:numId="13">
    <w:abstractNumId w:val="7"/>
  </w:num>
  <w:num w:numId="14">
    <w:abstractNumId w:val="4"/>
  </w:num>
  <w:num w:numId="15">
    <w:abstractNumId w:val="9"/>
  </w:num>
  <w:num w:numId="16">
    <w:abstractNumId w:val="3"/>
  </w:num>
  <w:num w:numId="17">
    <w:abstractNumId w:val="19"/>
  </w:num>
  <w:num w:numId="18">
    <w:abstractNumId w:val="29"/>
  </w:num>
  <w:num w:numId="19">
    <w:abstractNumId w:val="18"/>
  </w:num>
  <w:num w:numId="20">
    <w:abstractNumId w:val="30"/>
  </w:num>
  <w:num w:numId="21">
    <w:abstractNumId w:val="6"/>
  </w:num>
  <w:num w:numId="22">
    <w:abstractNumId w:val="1"/>
  </w:num>
  <w:num w:numId="23">
    <w:abstractNumId w:val="24"/>
  </w:num>
  <w:num w:numId="24">
    <w:abstractNumId w:val="12"/>
  </w:num>
  <w:num w:numId="25">
    <w:abstractNumId w:val="25"/>
  </w:num>
  <w:num w:numId="26">
    <w:abstractNumId w:val="13"/>
  </w:num>
  <w:num w:numId="27">
    <w:abstractNumId w:val="8"/>
  </w:num>
  <w:num w:numId="28">
    <w:abstractNumId w:val="10"/>
  </w:num>
  <w:num w:numId="29">
    <w:abstractNumId w:val="5"/>
  </w:num>
  <w:num w:numId="30">
    <w:abstractNumId w:val="0"/>
  </w:num>
  <w:num w:numId="31">
    <w:abstractNumId w:val="2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le">
    <w15:presenceInfo w15:providerId="None" w15:userId="Miche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AU" w:vendorID="64" w:dllVersion="0" w:nlCheck="1" w:checkStyle="0"/>
  <w:activeWritingStyle w:appName="MSWord" w:lang="en-GB" w:vendorID="64" w:dllVersion="0" w:nlCheck="1" w:checkStyle="1"/>
  <w:activeWritingStyle w:appName="MSWord" w:lang="en-AU" w:vendorID="64" w:dllVersion="131078" w:nlCheck="1" w:checkStyle="1"/>
  <w:activeWritingStyle w:appName="MSWord" w:lang="en-GB" w:vendorID="64" w:dllVersion="131078" w:nlCheck="1" w:checkStyle="1"/>
  <w:doNotTrackFormatting/>
  <w:defaultTabStop w:val="567"/>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161"/>
    <w:rsid w:val="000009CB"/>
    <w:rsid w:val="00002CED"/>
    <w:rsid w:val="000038E0"/>
    <w:rsid w:val="0000542C"/>
    <w:rsid w:val="0000750A"/>
    <w:rsid w:val="00007935"/>
    <w:rsid w:val="00007C90"/>
    <w:rsid w:val="0001003E"/>
    <w:rsid w:val="000108C5"/>
    <w:rsid w:val="00011200"/>
    <w:rsid w:val="000117A4"/>
    <w:rsid w:val="000122EC"/>
    <w:rsid w:val="00013022"/>
    <w:rsid w:val="00013161"/>
    <w:rsid w:val="000138C7"/>
    <w:rsid w:val="00013E2D"/>
    <w:rsid w:val="000153CC"/>
    <w:rsid w:val="000157EB"/>
    <w:rsid w:val="00015A45"/>
    <w:rsid w:val="00017269"/>
    <w:rsid w:val="00017B0C"/>
    <w:rsid w:val="00020D35"/>
    <w:rsid w:val="00021CAD"/>
    <w:rsid w:val="000236B1"/>
    <w:rsid w:val="00026C22"/>
    <w:rsid w:val="0002755E"/>
    <w:rsid w:val="00030205"/>
    <w:rsid w:val="0003050B"/>
    <w:rsid w:val="00031F5E"/>
    <w:rsid w:val="0003323C"/>
    <w:rsid w:val="00034FA0"/>
    <w:rsid w:val="00035606"/>
    <w:rsid w:val="00037985"/>
    <w:rsid w:val="00037CEA"/>
    <w:rsid w:val="00040461"/>
    <w:rsid w:val="00040768"/>
    <w:rsid w:val="0004158A"/>
    <w:rsid w:val="00041643"/>
    <w:rsid w:val="00041E21"/>
    <w:rsid w:val="00042A59"/>
    <w:rsid w:val="00042B0C"/>
    <w:rsid w:val="00043067"/>
    <w:rsid w:val="00045292"/>
    <w:rsid w:val="0005049D"/>
    <w:rsid w:val="000511A7"/>
    <w:rsid w:val="00051E27"/>
    <w:rsid w:val="0005239F"/>
    <w:rsid w:val="0005258F"/>
    <w:rsid w:val="00053073"/>
    <w:rsid w:val="00054B53"/>
    <w:rsid w:val="00054CDB"/>
    <w:rsid w:val="000564C3"/>
    <w:rsid w:val="00056813"/>
    <w:rsid w:val="00057577"/>
    <w:rsid w:val="00057A38"/>
    <w:rsid w:val="00060629"/>
    <w:rsid w:val="00060E0F"/>
    <w:rsid w:val="000622E7"/>
    <w:rsid w:val="00062B45"/>
    <w:rsid w:val="000636D4"/>
    <w:rsid w:val="00066854"/>
    <w:rsid w:val="00066D85"/>
    <w:rsid w:val="00066DD2"/>
    <w:rsid w:val="000708D4"/>
    <w:rsid w:val="00070E73"/>
    <w:rsid w:val="00071476"/>
    <w:rsid w:val="0007316C"/>
    <w:rsid w:val="00073F1D"/>
    <w:rsid w:val="000740DB"/>
    <w:rsid w:val="00074A3B"/>
    <w:rsid w:val="00076FF8"/>
    <w:rsid w:val="00077F7B"/>
    <w:rsid w:val="00080139"/>
    <w:rsid w:val="000841CF"/>
    <w:rsid w:val="0008541F"/>
    <w:rsid w:val="000865B4"/>
    <w:rsid w:val="00086C89"/>
    <w:rsid w:val="0009060B"/>
    <w:rsid w:val="00090F3D"/>
    <w:rsid w:val="000914AF"/>
    <w:rsid w:val="00091C05"/>
    <w:rsid w:val="00094523"/>
    <w:rsid w:val="00096DF7"/>
    <w:rsid w:val="000A05E8"/>
    <w:rsid w:val="000A1B81"/>
    <w:rsid w:val="000A24EB"/>
    <w:rsid w:val="000A2F20"/>
    <w:rsid w:val="000A38F8"/>
    <w:rsid w:val="000A498D"/>
    <w:rsid w:val="000A4B02"/>
    <w:rsid w:val="000A52A1"/>
    <w:rsid w:val="000A54D2"/>
    <w:rsid w:val="000A6071"/>
    <w:rsid w:val="000A6377"/>
    <w:rsid w:val="000A6DF9"/>
    <w:rsid w:val="000B1815"/>
    <w:rsid w:val="000B181B"/>
    <w:rsid w:val="000B2EC0"/>
    <w:rsid w:val="000B303E"/>
    <w:rsid w:val="000B44B1"/>
    <w:rsid w:val="000B4622"/>
    <w:rsid w:val="000B4668"/>
    <w:rsid w:val="000B4B0E"/>
    <w:rsid w:val="000B64A8"/>
    <w:rsid w:val="000B6BA0"/>
    <w:rsid w:val="000B7BD3"/>
    <w:rsid w:val="000C3456"/>
    <w:rsid w:val="000C3916"/>
    <w:rsid w:val="000C39A8"/>
    <w:rsid w:val="000C4F1E"/>
    <w:rsid w:val="000C52C6"/>
    <w:rsid w:val="000C5663"/>
    <w:rsid w:val="000C6F19"/>
    <w:rsid w:val="000D0516"/>
    <w:rsid w:val="000D07D3"/>
    <w:rsid w:val="000D0F97"/>
    <w:rsid w:val="000D1983"/>
    <w:rsid w:val="000D1BBD"/>
    <w:rsid w:val="000D246E"/>
    <w:rsid w:val="000D3D6A"/>
    <w:rsid w:val="000D4381"/>
    <w:rsid w:val="000D43DB"/>
    <w:rsid w:val="000D6A97"/>
    <w:rsid w:val="000D7812"/>
    <w:rsid w:val="000D7C7A"/>
    <w:rsid w:val="000E0B11"/>
    <w:rsid w:val="000E0EE8"/>
    <w:rsid w:val="000E13CA"/>
    <w:rsid w:val="000E1E98"/>
    <w:rsid w:val="000E22B7"/>
    <w:rsid w:val="000E248B"/>
    <w:rsid w:val="000E2C27"/>
    <w:rsid w:val="000E3C28"/>
    <w:rsid w:val="000E4D72"/>
    <w:rsid w:val="000E59C2"/>
    <w:rsid w:val="000E60B1"/>
    <w:rsid w:val="000E773C"/>
    <w:rsid w:val="000E7E3D"/>
    <w:rsid w:val="000F00C2"/>
    <w:rsid w:val="000F0E0B"/>
    <w:rsid w:val="000F1670"/>
    <w:rsid w:val="000F2196"/>
    <w:rsid w:val="000F35FA"/>
    <w:rsid w:val="000F5257"/>
    <w:rsid w:val="000F5C00"/>
    <w:rsid w:val="000F6497"/>
    <w:rsid w:val="00100980"/>
    <w:rsid w:val="00100EFE"/>
    <w:rsid w:val="0010260C"/>
    <w:rsid w:val="001026C3"/>
    <w:rsid w:val="00102B9F"/>
    <w:rsid w:val="00103688"/>
    <w:rsid w:val="0010389B"/>
    <w:rsid w:val="00105718"/>
    <w:rsid w:val="00105A72"/>
    <w:rsid w:val="00106C27"/>
    <w:rsid w:val="001073E9"/>
    <w:rsid w:val="0010751F"/>
    <w:rsid w:val="00110BED"/>
    <w:rsid w:val="001120BB"/>
    <w:rsid w:val="00113375"/>
    <w:rsid w:val="00113472"/>
    <w:rsid w:val="00115084"/>
    <w:rsid w:val="00115968"/>
    <w:rsid w:val="001167EE"/>
    <w:rsid w:val="00116F62"/>
    <w:rsid w:val="00117CE9"/>
    <w:rsid w:val="00121194"/>
    <w:rsid w:val="0012354F"/>
    <w:rsid w:val="00124793"/>
    <w:rsid w:val="00124DA9"/>
    <w:rsid w:val="001256F5"/>
    <w:rsid w:val="001260A8"/>
    <w:rsid w:val="00126559"/>
    <w:rsid w:val="0012673B"/>
    <w:rsid w:val="00126AD0"/>
    <w:rsid w:val="00127B2F"/>
    <w:rsid w:val="001356A4"/>
    <w:rsid w:val="00135C4E"/>
    <w:rsid w:val="00135CC5"/>
    <w:rsid w:val="00137F68"/>
    <w:rsid w:val="00140BB4"/>
    <w:rsid w:val="001417F7"/>
    <w:rsid w:val="00142D03"/>
    <w:rsid w:val="001439CE"/>
    <w:rsid w:val="00146150"/>
    <w:rsid w:val="00146AFD"/>
    <w:rsid w:val="00147410"/>
    <w:rsid w:val="00151236"/>
    <w:rsid w:val="00152330"/>
    <w:rsid w:val="00152792"/>
    <w:rsid w:val="001529D7"/>
    <w:rsid w:val="00155376"/>
    <w:rsid w:val="0015563F"/>
    <w:rsid w:val="00155745"/>
    <w:rsid w:val="00155D91"/>
    <w:rsid w:val="00160179"/>
    <w:rsid w:val="001608A3"/>
    <w:rsid w:val="00161910"/>
    <w:rsid w:val="00162B72"/>
    <w:rsid w:val="0016539E"/>
    <w:rsid w:val="001658F8"/>
    <w:rsid w:val="00166D25"/>
    <w:rsid w:val="001670E0"/>
    <w:rsid w:val="00170568"/>
    <w:rsid w:val="0017057B"/>
    <w:rsid w:val="001710C6"/>
    <w:rsid w:val="00171B4B"/>
    <w:rsid w:val="00171E64"/>
    <w:rsid w:val="001734EA"/>
    <w:rsid w:val="001746BB"/>
    <w:rsid w:val="0017531D"/>
    <w:rsid w:val="0017753F"/>
    <w:rsid w:val="00177BB2"/>
    <w:rsid w:val="00177D0D"/>
    <w:rsid w:val="00180CD2"/>
    <w:rsid w:val="00181742"/>
    <w:rsid w:val="00181D88"/>
    <w:rsid w:val="00184403"/>
    <w:rsid w:val="00184756"/>
    <w:rsid w:val="00184A30"/>
    <w:rsid w:val="00185F8D"/>
    <w:rsid w:val="00191770"/>
    <w:rsid w:val="00192E3A"/>
    <w:rsid w:val="001939F3"/>
    <w:rsid w:val="00196869"/>
    <w:rsid w:val="001973B6"/>
    <w:rsid w:val="00197A97"/>
    <w:rsid w:val="001A081A"/>
    <w:rsid w:val="001A0CC9"/>
    <w:rsid w:val="001A17EB"/>
    <w:rsid w:val="001A2A00"/>
    <w:rsid w:val="001A32B0"/>
    <w:rsid w:val="001A5D8A"/>
    <w:rsid w:val="001A7376"/>
    <w:rsid w:val="001A77D0"/>
    <w:rsid w:val="001B0055"/>
    <w:rsid w:val="001B0084"/>
    <w:rsid w:val="001B162F"/>
    <w:rsid w:val="001B185C"/>
    <w:rsid w:val="001B2B93"/>
    <w:rsid w:val="001B3A8A"/>
    <w:rsid w:val="001B3E77"/>
    <w:rsid w:val="001B49F3"/>
    <w:rsid w:val="001B55DD"/>
    <w:rsid w:val="001B6CA7"/>
    <w:rsid w:val="001C0060"/>
    <w:rsid w:val="001C1011"/>
    <w:rsid w:val="001C3EBE"/>
    <w:rsid w:val="001C5126"/>
    <w:rsid w:val="001C55C7"/>
    <w:rsid w:val="001C5B63"/>
    <w:rsid w:val="001C5EFB"/>
    <w:rsid w:val="001C693C"/>
    <w:rsid w:val="001C69F5"/>
    <w:rsid w:val="001C7C1A"/>
    <w:rsid w:val="001C7C6E"/>
    <w:rsid w:val="001D03EF"/>
    <w:rsid w:val="001D1460"/>
    <w:rsid w:val="001D1F87"/>
    <w:rsid w:val="001D2644"/>
    <w:rsid w:val="001D2F5B"/>
    <w:rsid w:val="001D3A48"/>
    <w:rsid w:val="001D5083"/>
    <w:rsid w:val="001D55BF"/>
    <w:rsid w:val="001D64B3"/>
    <w:rsid w:val="001E2BD6"/>
    <w:rsid w:val="001E2CD5"/>
    <w:rsid w:val="001E31A9"/>
    <w:rsid w:val="001E3F69"/>
    <w:rsid w:val="001E454C"/>
    <w:rsid w:val="001E615B"/>
    <w:rsid w:val="001E65A4"/>
    <w:rsid w:val="001E65CD"/>
    <w:rsid w:val="001E696B"/>
    <w:rsid w:val="001E7916"/>
    <w:rsid w:val="001F0B49"/>
    <w:rsid w:val="001F0BCE"/>
    <w:rsid w:val="001F10F7"/>
    <w:rsid w:val="001F1C8B"/>
    <w:rsid w:val="001F1E98"/>
    <w:rsid w:val="001F228E"/>
    <w:rsid w:val="001F2B8C"/>
    <w:rsid w:val="001F3B96"/>
    <w:rsid w:val="001F3C5E"/>
    <w:rsid w:val="001F4214"/>
    <w:rsid w:val="001F6FEE"/>
    <w:rsid w:val="001F798E"/>
    <w:rsid w:val="00200CAB"/>
    <w:rsid w:val="00201152"/>
    <w:rsid w:val="00202839"/>
    <w:rsid w:val="00202D82"/>
    <w:rsid w:val="00202DB6"/>
    <w:rsid w:val="0020381E"/>
    <w:rsid w:val="00203FE9"/>
    <w:rsid w:val="002056D9"/>
    <w:rsid w:val="00205C21"/>
    <w:rsid w:val="00207586"/>
    <w:rsid w:val="002107FA"/>
    <w:rsid w:val="0021184C"/>
    <w:rsid w:val="00211A23"/>
    <w:rsid w:val="00212470"/>
    <w:rsid w:val="00212AAC"/>
    <w:rsid w:val="0021607F"/>
    <w:rsid w:val="002160C4"/>
    <w:rsid w:val="002165FF"/>
    <w:rsid w:val="0021725B"/>
    <w:rsid w:val="002211D8"/>
    <w:rsid w:val="00221A5E"/>
    <w:rsid w:val="00221DD8"/>
    <w:rsid w:val="00222CE2"/>
    <w:rsid w:val="00222EFC"/>
    <w:rsid w:val="00222F59"/>
    <w:rsid w:val="002232B1"/>
    <w:rsid w:val="00223486"/>
    <w:rsid w:val="0022368D"/>
    <w:rsid w:val="0022412C"/>
    <w:rsid w:val="00224642"/>
    <w:rsid w:val="00224D7D"/>
    <w:rsid w:val="00225727"/>
    <w:rsid w:val="00226D7B"/>
    <w:rsid w:val="00227E09"/>
    <w:rsid w:val="002310C1"/>
    <w:rsid w:val="00233781"/>
    <w:rsid w:val="00234C31"/>
    <w:rsid w:val="00235B7D"/>
    <w:rsid w:val="00236F54"/>
    <w:rsid w:val="0023742F"/>
    <w:rsid w:val="00237A57"/>
    <w:rsid w:val="002421EE"/>
    <w:rsid w:val="0024248D"/>
    <w:rsid w:val="00244943"/>
    <w:rsid w:val="00244DC5"/>
    <w:rsid w:val="00245108"/>
    <w:rsid w:val="002451B0"/>
    <w:rsid w:val="00245805"/>
    <w:rsid w:val="00246619"/>
    <w:rsid w:val="0024687E"/>
    <w:rsid w:val="0024744A"/>
    <w:rsid w:val="00247584"/>
    <w:rsid w:val="00250AFD"/>
    <w:rsid w:val="002515DC"/>
    <w:rsid w:val="00252841"/>
    <w:rsid w:val="00253D48"/>
    <w:rsid w:val="00254807"/>
    <w:rsid w:val="0025591E"/>
    <w:rsid w:val="002560B4"/>
    <w:rsid w:val="0025714A"/>
    <w:rsid w:val="00257208"/>
    <w:rsid w:val="0026005C"/>
    <w:rsid w:val="0026044C"/>
    <w:rsid w:val="00260591"/>
    <w:rsid w:val="00261948"/>
    <w:rsid w:val="002620F0"/>
    <w:rsid w:val="00262D2A"/>
    <w:rsid w:val="00263864"/>
    <w:rsid w:val="002641C3"/>
    <w:rsid w:val="00264FFF"/>
    <w:rsid w:val="00266A3A"/>
    <w:rsid w:val="002677D4"/>
    <w:rsid w:val="00267878"/>
    <w:rsid w:val="00267DDE"/>
    <w:rsid w:val="00271B26"/>
    <w:rsid w:val="00271C83"/>
    <w:rsid w:val="00273911"/>
    <w:rsid w:val="002757BB"/>
    <w:rsid w:val="00276A6B"/>
    <w:rsid w:val="00276AAE"/>
    <w:rsid w:val="00277DE2"/>
    <w:rsid w:val="00280484"/>
    <w:rsid w:val="00280A9D"/>
    <w:rsid w:val="00280EA5"/>
    <w:rsid w:val="002811AA"/>
    <w:rsid w:val="00281AFE"/>
    <w:rsid w:val="00282A4C"/>
    <w:rsid w:val="00282B90"/>
    <w:rsid w:val="0028327C"/>
    <w:rsid w:val="00283684"/>
    <w:rsid w:val="00283CED"/>
    <w:rsid w:val="0028433E"/>
    <w:rsid w:val="002849D9"/>
    <w:rsid w:val="00285EDE"/>
    <w:rsid w:val="0028606E"/>
    <w:rsid w:val="002868F1"/>
    <w:rsid w:val="002870CA"/>
    <w:rsid w:val="00290262"/>
    <w:rsid w:val="00290292"/>
    <w:rsid w:val="00290840"/>
    <w:rsid w:val="00293315"/>
    <w:rsid w:val="00293BF2"/>
    <w:rsid w:val="00294779"/>
    <w:rsid w:val="002958F8"/>
    <w:rsid w:val="002959BB"/>
    <w:rsid w:val="00295C4D"/>
    <w:rsid w:val="00295E1E"/>
    <w:rsid w:val="00295F7E"/>
    <w:rsid w:val="002973DD"/>
    <w:rsid w:val="002976B2"/>
    <w:rsid w:val="002A195C"/>
    <w:rsid w:val="002A25CA"/>
    <w:rsid w:val="002A31EC"/>
    <w:rsid w:val="002A33E0"/>
    <w:rsid w:val="002A4386"/>
    <w:rsid w:val="002A4F41"/>
    <w:rsid w:val="002A58BE"/>
    <w:rsid w:val="002A6579"/>
    <w:rsid w:val="002B049C"/>
    <w:rsid w:val="002B1FB4"/>
    <w:rsid w:val="002B24A3"/>
    <w:rsid w:val="002B36CA"/>
    <w:rsid w:val="002B4542"/>
    <w:rsid w:val="002B458F"/>
    <w:rsid w:val="002B61C8"/>
    <w:rsid w:val="002B6250"/>
    <w:rsid w:val="002C1AB4"/>
    <w:rsid w:val="002C20B8"/>
    <w:rsid w:val="002C28EB"/>
    <w:rsid w:val="002C31E5"/>
    <w:rsid w:val="002C350F"/>
    <w:rsid w:val="002C408B"/>
    <w:rsid w:val="002C4766"/>
    <w:rsid w:val="002C4DE1"/>
    <w:rsid w:val="002D0912"/>
    <w:rsid w:val="002D1736"/>
    <w:rsid w:val="002D21A4"/>
    <w:rsid w:val="002D27AC"/>
    <w:rsid w:val="002D34CF"/>
    <w:rsid w:val="002D47BF"/>
    <w:rsid w:val="002D6305"/>
    <w:rsid w:val="002D6561"/>
    <w:rsid w:val="002D671B"/>
    <w:rsid w:val="002D6BBD"/>
    <w:rsid w:val="002D73E5"/>
    <w:rsid w:val="002E0F06"/>
    <w:rsid w:val="002E232C"/>
    <w:rsid w:val="002E2DAF"/>
    <w:rsid w:val="002E4981"/>
    <w:rsid w:val="002E5690"/>
    <w:rsid w:val="002E5C51"/>
    <w:rsid w:val="002F0F89"/>
    <w:rsid w:val="002F1A76"/>
    <w:rsid w:val="002F1D6A"/>
    <w:rsid w:val="002F221C"/>
    <w:rsid w:val="002F247F"/>
    <w:rsid w:val="002F511C"/>
    <w:rsid w:val="002F5F7A"/>
    <w:rsid w:val="002F722B"/>
    <w:rsid w:val="002F7A1B"/>
    <w:rsid w:val="0030127F"/>
    <w:rsid w:val="0030319E"/>
    <w:rsid w:val="0030327A"/>
    <w:rsid w:val="00305770"/>
    <w:rsid w:val="00305A37"/>
    <w:rsid w:val="00306506"/>
    <w:rsid w:val="0030656C"/>
    <w:rsid w:val="00306F86"/>
    <w:rsid w:val="003104C7"/>
    <w:rsid w:val="0031124F"/>
    <w:rsid w:val="00311C13"/>
    <w:rsid w:val="00311D30"/>
    <w:rsid w:val="00311E71"/>
    <w:rsid w:val="0031222C"/>
    <w:rsid w:val="00312D3F"/>
    <w:rsid w:val="003130E8"/>
    <w:rsid w:val="00313481"/>
    <w:rsid w:val="003137C7"/>
    <w:rsid w:val="00314ED6"/>
    <w:rsid w:val="0031544B"/>
    <w:rsid w:val="003159BC"/>
    <w:rsid w:val="00315E16"/>
    <w:rsid w:val="00315F90"/>
    <w:rsid w:val="00316B9F"/>
    <w:rsid w:val="003215F8"/>
    <w:rsid w:val="0032421A"/>
    <w:rsid w:val="00324484"/>
    <w:rsid w:val="00326056"/>
    <w:rsid w:val="003271B1"/>
    <w:rsid w:val="003301D4"/>
    <w:rsid w:val="0033021F"/>
    <w:rsid w:val="00331C28"/>
    <w:rsid w:val="00331C49"/>
    <w:rsid w:val="00332A01"/>
    <w:rsid w:val="003333C8"/>
    <w:rsid w:val="00333491"/>
    <w:rsid w:val="0033596D"/>
    <w:rsid w:val="0033640E"/>
    <w:rsid w:val="00336C1C"/>
    <w:rsid w:val="00337343"/>
    <w:rsid w:val="00340897"/>
    <w:rsid w:val="00341D25"/>
    <w:rsid w:val="00342364"/>
    <w:rsid w:val="00345E99"/>
    <w:rsid w:val="00346577"/>
    <w:rsid w:val="00346A0E"/>
    <w:rsid w:val="00346D34"/>
    <w:rsid w:val="0035097B"/>
    <w:rsid w:val="003509C1"/>
    <w:rsid w:val="00351AD6"/>
    <w:rsid w:val="00351EB6"/>
    <w:rsid w:val="00353685"/>
    <w:rsid w:val="00353F18"/>
    <w:rsid w:val="003559BF"/>
    <w:rsid w:val="00356AA2"/>
    <w:rsid w:val="00356AA9"/>
    <w:rsid w:val="0035787E"/>
    <w:rsid w:val="00357CBE"/>
    <w:rsid w:val="003606CE"/>
    <w:rsid w:val="00360D7D"/>
    <w:rsid w:val="00361212"/>
    <w:rsid w:val="00361458"/>
    <w:rsid w:val="00361F23"/>
    <w:rsid w:val="0036236A"/>
    <w:rsid w:val="00362BB2"/>
    <w:rsid w:val="00363317"/>
    <w:rsid w:val="003634BB"/>
    <w:rsid w:val="00363D21"/>
    <w:rsid w:val="00364C7C"/>
    <w:rsid w:val="00365964"/>
    <w:rsid w:val="00366423"/>
    <w:rsid w:val="0036713D"/>
    <w:rsid w:val="00371739"/>
    <w:rsid w:val="00371852"/>
    <w:rsid w:val="00372E72"/>
    <w:rsid w:val="00373C3B"/>
    <w:rsid w:val="003775D6"/>
    <w:rsid w:val="00377CBE"/>
    <w:rsid w:val="00377D0A"/>
    <w:rsid w:val="0038012D"/>
    <w:rsid w:val="0038063E"/>
    <w:rsid w:val="003807B8"/>
    <w:rsid w:val="00380E60"/>
    <w:rsid w:val="00380E72"/>
    <w:rsid w:val="00383272"/>
    <w:rsid w:val="003834EC"/>
    <w:rsid w:val="003839F7"/>
    <w:rsid w:val="003864F9"/>
    <w:rsid w:val="003907E0"/>
    <w:rsid w:val="00392B32"/>
    <w:rsid w:val="0039364E"/>
    <w:rsid w:val="00393D84"/>
    <w:rsid w:val="00393F4A"/>
    <w:rsid w:val="00395868"/>
    <w:rsid w:val="00395A31"/>
    <w:rsid w:val="00395AF7"/>
    <w:rsid w:val="00397008"/>
    <w:rsid w:val="003974C3"/>
    <w:rsid w:val="00397DD6"/>
    <w:rsid w:val="003A4488"/>
    <w:rsid w:val="003A4938"/>
    <w:rsid w:val="003A5043"/>
    <w:rsid w:val="003A618C"/>
    <w:rsid w:val="003A630C"/>
    <w:rsid w:val="003A6BFA"/>
    <w:rsid w:val="003B04CB"/>
    <w:rsid w:val="003B11EF"/>
    <w:rsid w:val="003B174C"/>
    <w:rsid w:val="003B1BD1"/>
    <w:rsid w:val="003B2AF4"/>
    <w:rsid w:val="003B31EF"/>
    <w:rsid w:val="003B34B9"/>
    <w:rsid w:val="003B4527"/>
    <w:rsid w:val="003B4670"/>
    <w:rsid w:val="003B5A8F"/>
    <w:rsid w:val="003B5F7B"/>
    <w:rsid w:val="003C16BA"/>
    <w:rsid w:val="003C348D"/>
    <w:rsid w:val="003C3B66"/>
    <w:rsid w:val="003C4E2E"/>
    <w:rsid w:val="003C555C"/>
    <w:rsid w:val="003C5A0A"/>
    <w:rsid w:val="003C5E1D"/>
    <w:rsid w:val="003C67A9"/>
    <w:rsid w:val="003C77BB"/>
    <w:rsid w:val="003C7A7A"/>
    <w:rsid w:val="003D0068"/>
    <w:rsid w:val="003D10C4"/>
    <w:rsid w:val="003D1AAE"/>
    <w:rsid w:val="003D2885"/>
    <w:rsid w:val="003D2B48"/>
    <w:rsid w:val="003D350D"/>
    <w:rsid w:val="003D3CAD"/>
    <w:rsid w:val="003D4FED"/>
    <w:rsid w:val="003D6235"/>
    <w:rsid w:val="003D6931"/>
    <w:rsid w:val="003E00C1"/>
    <w:rsid w:val="003E269C"/>
    <w:rsid w:val="003E2F31"/>
    <w:rsid w:val="003E3006"/>
    <w:rsid w:val="003E36CC"/>
    <w:rsid w:val="003E3BFC"/>
    <w:rsid w:val="003E41F4"/>
    <w:rsid w:val="003E4767"/>
    <w:rsid w:val="003E5A10"/>
    <w:rsid w:val="003E7495"/>
    <w:rsid w:val="003E7945"/>
    <w:rsid w:val="003F22B9"/>
    <w:rsid w:val="003F3BBA"/>
    <w:rsid w:val="003F60C8"/>
    <w:rsid w:val="00400D04"/>
    <w:rsid w:val="00402536"/>
    <w:rsid w:val="0040267D"/>
    <w:rsid w:val="00403019"/>
    <w:rsid w:val="00403836"/>
    <w:rsid w:val="00404278"/>
    <w:rsid w:val="00404702"/>
    <w:rsid w:val="00404B24"/>
    <w:rsid w:val="004061D7"/>
    <w:rsid w:val="004069EA"/>
    <w:rsid w:val="00407019"/>
    <w:rsid w:val="00410CD1"/>
    <w:rsid w:val="004117D8"/>
    <w:rsid w:val="00411829"/>
    <w:rsid w:val="00411C1F"/>
    <w:rsid w:val="00411EDF"/>
    <w:rsid w:val="00412821"/>
    <w:rsid w:val="00412C46"/>
    <w:rsid w:val="00412CFC"/>
    <w:rsid w:val="00413240"/>
    <w:rsid w:val="00415495"/>
    <w:rsid w:val="00415B44"/>
    <w:rsid w:val="00417B48"/>
    <w:rsid w:val="0042185C"/>
    <w:rsid w:val="0042330A"/>
    <w:rsid w:val="004234FD"/>
    <w:rsid w:val="004237A8"/>
    <w:rsid w:val="00424456"/>
    <w:rsid w:val="004246B2"/>
    <w:rsid w:val="00424C1E"/>
    <w:rsid w:val="00424D4D"/>
    <w:rsid w:val="00425D9B"/>
    <w:rsid w:val="00425DF9"/>
    <w:rsid w:val="00430D8D"/>
    <w:rsid w:val="00430D97"/>
    <w:rsid w:val="00430DDC"/>
    <w:rsid w:val="0043188C"/>
    <w:rsid w:val="00431B47"/>
    <w:rsid w:val="00431EDB"/>
    <w:rsid w:val="004326A0"/>
    <w:rsid w:val="00435EC3"/>
    <w:rsid w:val="00441C18"/>
    <w:rsid w:val="00441D77"/>
    <w:rsid w:val="00442959"/>
    <w:rsid w:val="0044334F"/>
    <w:rsid w:val="00443906"/>
    <w:rsid w:val="00443F05"/>
    <w:rsid w:val="00444D4F"/>
    <w:rsid w:val="00444F7E"/>
    <w:rsid w:val="00445572"/>
    <w:rsid w:val="00445785"/>
    <w:rsid w:val="00445BB3"/>
    <w:rsid w:val="00446067"/>
    <w:rsid w:val="004468D0"/>
    <w:rsid w:val="00446C16"/>
    <w:rsid w:val="00446C85"/>
    <w:rsid w:val="00447187"/>
    <w:rsid w:val="0045003F"/>
    <w:rsid w:val="004539D1"/>
    <w:rsid w:val="00454872"/>
    <w:rsid w:val="004556D1"/>
    <w:rsid w:val="00455B91"/>
    <w:rsid w:val="004569FA"/>
    <w:rsid w:val="00456F6E"/>
    <w:rsid w:val="004577F9"/>
    <w:rsid w:val="00457F21"/>
    <w:rsid w:val="00460581"/>
    <w:rsid w:val="00460D19"/>
    <w:rsid w:val="00461AAD"/>
    <w:rsid w:val="00462270"/>
    <w:rsid w:val="004626D8"/>
    <w:rsid w:val="004627C8"/>
    <w:rsid w:val="00462E38"/>
    <w:rsid w:val="004633CB"/>
    <w:rsid w:val="00464204"/>
    <w:rsid w:val="004658FD"/>
    <w:rsid w:val="004661A0"/>
    <w:rsid w:val="00466ACF"/>
    <w:rsid w:val="00466C80"/>
    <w:rsid w:val="004711FB"/>
    <w:rsid w:val="00471BFC"/>
    <w:rsid w:val="0047413F"/>
    <w:rsid w:val="00474516"/>
    <w:rsid w:val="00476AF8"/>
    <w:rsid w:val="00476DD8"/>
    <w:rsid w:val="00477870"/>
    <w:rsid w:val="00477A9C"/>
    <w:rsid w:val="0048079B"/>
    <w:rsid w:val="00480C46"/>
    <w:rsid w:val="00480D94"/>
    <w:rsid w:val="00482112"/>
    <w:rsid w:val="0048235E"/>
    <w:rsid w:val="004829B2"/>
    <w:rsid w:val="00483607"/>
    <w:rsid w:val="00484F16"/>
    <w:rsid w:val="00486619"/>
    <w:rsid w:val="004869DB"/>
    <w:rsid w:val="00486C72"/>
    <w:rsid w:val="004870FA"/>
    <w:rsid w:val="004872CF"/>
    <w:rsid w:val="004924ED"/>
    <w:rsid w:val="0049447A"/>
    <w:rsid w:val="0049477F"/>
    <w:rsid w:val="00495E0A"/>
    <w:rsid w:val="004965D6"/>
    <w:rsid w:val="00496A9E"/>
    <w:rsid w:val="004A1C01"/>
    <w:rsid w:val="004A2B9F"/>
    <w:rsid w:val="004A371B"/>
    <w:rsid w:val="004A4978"/>
    <w:rsid w:val="004A4A16"/>
    <w:rsid w:val="004A4CBF"/>
    <w:rsid w:val="004A5223"/>
    <w:rsid w:val="004A59B8"/>
    <w:rsid w:val="004A6522"/>
    <w:rsid w:val="004A6D71"/>
    <w:rsid w:val="004B00ED"/>
    <w:rsid w:val="004B0B85"/>
    <w:rsid w:val="004B22AC"/>
    <w:rsid w:val="004B357C"/>
    <w:rsid w:val="004B68B8"/>
    <w:rsid w:val="004B70A1"/>
    <w:rsid w:val="004C01C0"/>
    <w:rsid w:val="004C0D02"/>
    <w:rsid w:val="004C1113"/>
    <w:rsid w:val="004C1625"/>
    <w:rsid w:val="004C1649"/>
    <w:rsid w:val="004C1B08"/>
    <w:rsid w:val="004C480E"/>
    <w:rsid w:val="004C5574"/>
    <w:rsid w:val="004C59A3"/>
    <w:rsid w:val="004C6C80"/>
    <w:rsid w:val="004C6FC2"/>
    <w:rsid w:val="004C7B0E"/>
    <w:rsid w:val="004D197C"/>
    <w:rsid w:val="004D1F95"/>
    <w:rsid w:val="004D2129"/>
    <w:rsid w:val="004D27D5"/>
    <w:rsid w:val="004D296B"/>
    <w:rsid w:val="004D3868"/>
    <w:rsid w:val="004D3F8E"/>
    <w:rsid w:val="004D438A"/>
    <w:rsid w:val="004D6ADF"/>
    <w:rsid w:val="004E15DF"/>
    <w:rsid w:val="004E1FC2"/>
    <w:rsid w:val="004E286C"/>
    <w:rsid w:val="004E32B3"/>
    <w:rsid w:val="004E4627"/>
    <w:rsid w:val="004E6478"/>
    <w:rsid w:val="004E6694"/>
    <w:rsid w:val="004E7757"/>
    <w:rsid w:val="004E7A59"/>
    <w:rsid w:val="004F1997"/>
    <w:rsid w:val="004F497B"/>
    <w:rsid w:val="004F746C"/>
    <w:rsid w:val="00500E66"/>
    <w:rsid w:val="00501E17"/>
    <w:rsid w:val="00502790"/>
    <w:rsid w:val="0050302B"/>
    <w:rsid w:val="005030EF"/>
    <w:rsid w:val="0050321F"/>
    <w:rsid w:val="00503850"/>
    <w:rsid w:val="0050467E"/>
    <w:rsid w:val="00505F9D"/>
    <w:rsid w:val="00506906"/>
    <w:rsid w:val="00510BBB"/>
    <w:rsid w:val="00510DEA"/>
    <w:rsid w:val="005129C9"/>
    <w:rsid w:val="00513BD2"/>
    <w:rsid w:val="00514B44"/>
    <w:rsid w:val="005169AB"/>
    <w:rsid w:val="0052022F"/>
    <w:rsid w:val="00520E76"/>
    <w:rsid w:val="00522654"/>
    <w:rsid w:val="0052272D"/>
    <w:rsid w:val="0052413E"/>
    <w:rsid w:val="005242E4"/>
    <w:rsid w:val="005244A2"/>
    <w:rsid w:val="00527610"/>
    <w:rsid w:val="005277AB"/>
    <w:rsid w:val="00527B44"/>
    <w:rsid w:val="00527FDB"/>
    <w:rsid w:val="00530327"/>
    <w:rsid w:val="00530FBA"/>
    <w:rsid w:val="00532D7D"/>
    <w:rsid w:val="0053333F"/>
    <w:rsid w:val="00533788"/>
    <w:rsid w:val="00534F5C"/>
    <w:rsid w:val="00536D74"/>
    <w:rsid w:val="0054036E"/>
    <w:rsid w:val="005419B5"/>
    <w:rsid w:val="00541BD6"/>
    <w:rsid w:val="00541DD7"/>
    <w:rsid w:val="00542D26"/>
    <w:rsid w:val="0054306F"/>
    <w:rsid w:val="00543988"/>
    <w:rsid w:val="00544FB1"/>
    <w:rsid w:val="0054652E"/>
    <w:rsid w:val="00546627"/>
    <w:rsid w:val="005472B0"/>
    <w:rsid w:val="005476E8"/>
    <w:rsid w:val="00550F40"/>
    <w:rsid w:val="005511E9"/>
    <w:rsid w:val="00551ED7"/>
    <w:rsid w:val="00552936"/>
    <w:rsid w:val="005530F6"/>
    <w:rsid w:val="00553363"/>
    <w:rsid w:val="005550E3"/>
    <w:rsid w:val="00555A71"/>
    <w:rsid w:val="00556AE5"/>
    <w:rsid w:val="00557A56"/>
    <w:rsid w:val="00557AE4"/>
    <w:rsid w:val="005624C5"/>
    <w:rsid w:val="00563A64"/>
    <w:rsid w:val="0056527C"/>
    <w:rsid w:val="00570BAF"/>
    <w:rsid w:val="00570F47"/>
    <w:rsid w:val="0057137E"/>
    <w:rsid w:val="0057212A"/>
    <w:rsid w:val="005722A9"/>
    <w:rsid w:val="00573772"/>
    <w:rsid w:val="005757C7"/>
    <w:rsid w:val="00577081"/>
    <w:rsid w:val="005778C8"/>
    <w:rsid w:val="0058261B"/>
    <w:rsid w:val="005848FA"/>
    <w:rsid w:val="00586863"/>
    <w:rsid w:val="00586AFD"/>
    <w:rsid w:val="00587F1A"/>
    <w:rsid w:val="00590457"/>
    <w:rsid w:val="00590E67"/>
    <w:rsid w:val="0059167A"/>
    <w:rsid w:val="005919B0"/>
    <w:rsid w:val="005935C0"/>
    <w:rsid w:val="00594956"/>
    <w:rsid w:val="00595231"/>
    <w:rsid w:val="00595CCC"/>
    <w:rsid w:val="00595FFE"/>
    <w:rsid w:val="005A003F"/>
    <w:rsid w:val="005A04DF"/>
    <w:rsid w:val="005A21FF"/>
    <w:rsid w:val="005A36DB"/>
    <w:rsid w:val="005A3DF6"/>
    <w:rsid w:val="005A4DEB"/>
    <w:rsid w:val="005A59F3"/>
    <w:rsid w:val="005A77FE"/>
    <w:rsid w:val="005B03F9"/>
    <w:rsid w:val="005B08C7"/>
    <w:rsid w:val="005B178F"/>
    <w:rsid w:val="005B1B5B"/>
    <w:rsid w:val="005B2947"/>
    <w:rsid w:val="005B29F5"/>
    <w:rsid w:val="005B333A"/>
    <w:rsid w:val="005B4A0C"/>
    <w:rsid w:val="005B578D"/>
    <w:rsid w:val="005B641B"/>
    <w:rsid w:val="005B7628"/>
    <w:rsid w:val="005B7DED"/>
    <w:rsid w:val="005C0808"/>
    <w:rsid w:val="005C1996"/>
    <w:rsid w:val="005C1D86"/>
    <w:rsid w:val="005C26F4"/>
    <w:rsid w:val="005C2F2D"/>
    <w:rsid w:val="005C64AD"/>
    <w:rsid w:val="005D04A8"/>
    <w:rsid w:val="005D2010"/>
    <w:rsid w:val="005D499D"/>
    <w:rsid w:val="005D49FD"/>
    <w:rsid w:val="005D53F9"/>
    <w:rsid w:val="005D6ADA"/>
    <w:rsid w:val="005E060A"/>
    <w:rsid w:val="005E0BC3"/>
    <w:rsid w:val="005E1607"/>
    <w:rsid w:val="005E185E"/>
    <w:rsid w:val="005E2220"/>
    <w:rsid w:val="005E3180"/>
    <w:rsid w:val="005E3956"/>
    <w:rsid w:val="005E41E8"/>
    <w:rsid w:val="005E5468"/>
    <w:rsid w:val="005E5690"/>
    <w:rsid w:val="005E7BF8"/>
    <w:rsid w:val="005E7C3A"/>
    <w:rsid w:val="005F01EE"/>
    <w:rsid w:val="005F085E"/>
    <w:rsid w:val="005F0869"/>
    <w:rsid w:val="005F0EBF"/>
    <w:rsid w:val="005F186A"/>
    <w:rsid w:val="005F289F"/>
    <w:rsid w:val="005F3428"/>
    <w:rsid w:val="005F3CD6"/>
    <w:rsid w:val="005F4579"/>
    <w:rsid w:val="005F4818"/>
    <w:rsid w:val="005F6538"/>
    <w:rsid w:val="005F78A6"/>
    <w:rsid w:val="0060119C"/>
    <w:rsid w:val="00601B67"/>
    <w:rsid w:val="00601E57"/>
    <w:rsid w:val="00602295"/>
    <w:rsid w:val="00602B28"/>
    <w:rsid w:val="006042D2"/>
    <w:rsid w:val="00605160"/>
    <w:rsid w:val="0060537B"/>
    <w:rsid w:val="00605969"/>
    <w:rsid w:val="00605BF7"/>
    <w:rsid w:val="00611168"/>
    <w:rsid w:val="0061187A"/>
    <w:rsid w:val="00611BE1"/>
    <w:rsid w:val="00615A01"/>
    <w:rsid w:val="00615C69"/>
    <w:rsid w:val="0061626A"/>
    <w:rsid w:val="00616A2D"/>
    <w:rsid w:val="00616BAB"/>
    <w:rsid w:val="00617DCE"/>
    <w:rsid w:val="00617EC6"/>
    <w:rsid w:val="006200D4"/>
    <w:rsid w:val="006206E9"/>
    <w:rsid w:val="006207C4"/>
    <w:rsid w:val="006207D6"/>
    <w:rsid w:val="00620DD4"/>
    <w:rsid w:val="00621901"/>
    <w:rsid w:val="00621903"/>
    <w:rsid w:val="00621952"/>
    <w:rsid w:val="00621BC0"/>
    <w:rsid w:val="00622097"/>
    <w:rsid w:val="0062400D"/>
    <w:rsid w:val="006245EF"/>
    <w:rsid w:val="00625EB6"/>
    <w:rsid w:val="0062798B"/>
    <w:rsid w:val="00631429"/>
    <w:rsid w:val="006327CE"/>
    <w:rsid w:val="00633178"/>
    <w:rsid w:val="0063458F"/>
    <w:rsid w:val="00634AD4"/>
    <w:rsid w:val="0063546E"/>
    <w:rsid w:val="006363AE"/>
    <w:rsid w:val="00636A79"/>
    <w:rsid w:val="0063744D"/>
    <w:rsid w:val="00640121"/>
    <w:rsid w:val="00641598"/>
    <w:rsid w:val="00643BC1"/>
    <w:rsid w:val="006442CC"/>
    <w:rsid w:val="006448C4"/>
    <w:rsid w:val="006456D5"/>
    <w:rsid w:val="0064572F"/>
    <w:rsid w:val="006474D1"/>
    <w:rsid w:val="006519E0"/>
    <w:rsid w:val="00651F00"/>
    <w:rsid w:val="00653888"/>
    <w:rsid w:val="006540AA"/>
    <w:rsid w:val="00654E3C"/>
    <w:rsid w:val="00655640"/>
    <w:rsid w:val="0065639E"/>
    <w:rsid w:val="006575CB"/>
    <w:rsid w:val="0065790E"/>
    <w:rsid w:val="00657B62"/>
    <w:rsid w:val="00657D35"/>
    <w:rsid w:val="00660E45"/>
    <w:rsid w:val="00665121"/>
    <w:rsid w:val="00667E29"/>
    <w:rsid w:val="00670A3D"/>
    <w:rsid w:val="00671DE1"/>
    <w:rsid w:val="0067460E"/>
    <w:rsid w:val="006751F1"/>
    <w:rsid w:val="006758E3"/>
    <w:rsid w:val="006770FA"/>
    <w:rsid w:val="006810A4"/>
    <w:rsid w:val="0068180B"/>
    <w:rsid w:val="006819DB"/>
    <w:rsid w:val="00681E6B"/>
    <w:rsid w:val="006844B6"/>
    <w:rsid w:val="006862F6"/>
    <w:rsid w:val="0068710F"/>
    <w:rsid w:val="00687EC2"/>
    <w:rsid w:val="006909DA"/>
    <w:rsid w:val="00691F30"/>
    <w:rsid w:val="00692699"/>
    <w:rsid w:val="00696774"/>
    <w:rsid w:val="006969BA"/>
    <w:rsid w:val="0069716E"/>
    <w:rsid w:val="006973F4"/>
    <w:rsid w:val="00697438"/>
    <w:rsid w:val="00697B35"/>
    <w:rsid w:val="006A17A2"/>
    <w:rsid w:val="006A2F4A"/>
    <w:rsid w:val="006A3A46"/>
    <w:rsid w:val="006A3B90"/>
    <w:rsid w:val="006A48B7"/>
    <w:rsid w:val="006A60D6"/>
    <w:rsid w:val="006A622E"/>
    <w:rsid w:val="006A6F47"/>
    <w:rsid w:val="006B0C29"/>
    <w:rsid w:val="006B1960"/>
    <w:rsid w:val="006B32D5"/>
    <w:rsid w:val="006B3363"/>
    <w:rsid w:val="006B3F75"/>
    <w:rsid w:val="006B459A"/>
    <w:rsid w:val="006B4F34"/>
    <w:rsid w:val="006B543F"/>
    <w:rsid w:val="006B5D32"/>
    <w:rsid w:val="006B6818"/>
    <w:rsid w:val="006B6900"/>
    <w:rsid w:val="006B7CDB"/>
    <w:rsid w:val="006C1E4E"/>
    <w:rsid w:val="006C29E7"/>
    <w:rsid w:val="006C2A4D"/>
    <w:rsid w:val="006C2E78"/>
    <w:rsid w:val="006C42AC"/>
    <w:rsid w:val="006C449C"/>
    <w:rsid w:val="006C4E25"/>
    <w:rsid w:val="006C53C6"/>
    <w:rsid w:val="006C6563"/>
    <w:rsid w:val="006C6A77"/>
    <w:rsid w:val="006C6F7A"/>
    <w:rsid w:val="006C7199"/>
    <w:rsid w:val="006D17F8"/>
    <w:rsid w:val="006D1CA9"/>
    <w:rsid w:val="006D2034"/>
    <w:rsid w:val="006D26C7"/>
    <w:rsid w:val="006D43FD"/>
    <w:rsid w:val="006D473E"/>
    <w:rsid w:val="006D68EE"/>
    <w:rsid w:val="006E04C1"/>
    <w:rsid w:val="006E122A"/>
    <w:rsid w:val="006E1278"/>
    <w:rsid w:val="006E14AF"/>
    <w:rsid w:val="006E25C3"/>
    <w:rsid w:val="006E33C4"/>
    <w:rsid w:val="006E47A3"/>
    <w:rsid w:val="006E49FA"/>
    <w:rsid w:val="006E60E4"/>
    <w:rsid w:val="006E691E"/>
    <w:rsid w:val="006E7240"/>
    <w:rsid w:val="006E74AE"/>
    <w:rsid w:val="006E7ACE"/>
    <w:rsid w:val="006F073D"/>
    <w:rsid w:val="006F0B03"/>
    <w:rsid w:val="006F0FD5"/>
    <w:rsid w:val="006F24E8"/>
    <w:rsid w:val="006F25FD"/>
    <w:rsid w:val="006F3248"/>
    <w:rsid w:val="006F6215"/>
    <w:rsid w:val="006F6A81"/>
    <w:rsid w:val="006F78A0"/>
    <w:rsid w:val="00701584"/>
    <w:rsid w:val="00701A02"/>
    <w:rsid w:val="00703647"/>
    <w:rsid w:val="007079CA"/>
    <w:rsid w:val="00710476"/>
    <w:rsid w:val="00710AF3"/>
    <w:rsid w:val="00711021"/>
    <w:rsid w:val="00713911"/>
    <w:rsid w:val="00714161"/>
    <w:rsid w:val="007151DE"/>
    <w:rsid w:val="00716AEA"/>
    <w:rsid w:val="0071757C"/>
    <w:rsid w:val="007216BE"/>
    <w:rsid w:val="0072320F"/>
    <w:rsid w:val="00723B9A"/>
    <w:rsid w:val="00724886"/>
    <w:rsid w:val="00724FF0"/>
    <w:rsid w:val="00726E01"/>
    <w:rsid w:val="00727B3A"/>
    <w:rsid w:val="007308D0"/>
    <w:rsid w:val="00730989"/>
    <w:rsid w:val="007322F8"/>
    <w:rsid w:val="00732541"/>
    <w:rsid w:val="007338A7"/>
    <w:rsid w:val="00733931"/>
    <w:rsid w:val="00733B5C"/>
    <w:rsid w:val="00733E14"/>
    <w:rsid w:val="00735626"/>
    <w:rsid w:val="0073589D"/>
    <w:rsid w:val="007358FE"/>
    <w:rsid w:val="0073670A"/>
    <w:rsid w:val="00736F9B"/>
    <w:rsid w:val="007372E1"/>
    <w:rsid w:val="00737FC4"/>
    <w:rsid w:val="00740136"/>
    <w:rsid w:val="007414BB"/>
    <w:rsid w:val="00745019"/>
    <w:rsid w:val="00746864"/>
    <w:rsid w:val="007478AD"/>
    <w:rsid w:val="00747B0E"/>
    <w:rsid w:val="0075034E"/>
    <w:rsid w:val="0075087B"/>
    <w:rsid w:val="00750B32"/>
    <w:rsid w:val="0075115F"/>
    <w:rsid w:val="00752EC1"/>
    <w:rsid w:val="00753329"/>
    <w:rsid w:val="00753B0E"/>
    <w:rsid w:val="00755355"/>
    <w:rsid w:val="00755900"/>
    <w:rsid w:val="00755AF0"/>
    <w:rsid w:val="0076079A"/>
    <w:rsid w:val="00760F64"/>
    <w:rsid w:val="00761D56"/>
    <w:rsid w:val="00762304"/>
    <w:rsid w:val="00763DF1"/>
    <w:rsid w:val="00764677"/>
    <w:rsid w:val="00764B19"/>
    <w:rsid w:val="00765B23"/>
    <w:rsid w:val="00765C94"/>
    <w:rsid w:val="0077119B"/>
    <w:rsid w:val="00774A1A"/>
    <w:rsid w:val="007757EA"/>
    <w:rsid w:val="007758BA"/>
    <w:rsid w:val="0078022B"/>
    <w:rsid w:val="00781E70"/>
    <w:rsid w:val="00784E27"/>
    <w:rsid w:val="00787662"/>
    <w:rsid w:val="00787D72"/>
    <w:rsid w:val="00791D3B"/>
    <w:rsid w:val="00792C26"/>
    <w:rsid w:val="00792FF8"/>
    <w:rsid w:val="007936B5"/>
    <w:rsid w:val="007938E8"/>
    <w:rsid w:val="00793DE6"/>
    <w:rsid w:val="00794064"/>
    <w:rsid w:val="00795229"/>
    <w:rsid w:val="0079615C"/>
    <w:rsid w:val="00797124"/>
    <w:rsid w:val="00797C13"/>
    <w:rsid w:val="007A04BD"/>
    <w:rsid w:val="007A164F"/>
    <w:rsid w:val="007A2235"/>
    <w:rsid w:val="007A2564"/>
    <w:rsid w:val="007A2E01"/>
    <w:rsid w:val="007A356B"/>
    <w:rsid w:val="007A4154"/>
    <w:rsid w:val="007A576F"/>
    <w:rsid w:val="007A58FD"/>
    <w:rsid w:val="007A5FCA"/>
    <w:rsid w:val="007A6C06"/>
    <w:rsid w:val="007B0724"/>
    <w:rsid w:val="007B0A19"/>
    <w:rsid w:val="007B1789"/>
    <w:rsid w:val="007B1F99"/>
    <w:rsid w:val="007B6CAF"/>
    <w:rsid w:val="007C21A9"/>
    <w:rsid w:val="007C599E"/>
    <w:rsid w:val="007C6AAE"/>
    <w:rsid w:val="007C6AE7"/>
    <w:rsid w:val="007C7446"/>
    <w:rsid w:val="007D1153"/>
    <w:rsid w:val="007D45BF"/>
    <w:rsid w:val="007D4B13"/>
    <w:rsid w:val="007D4F4F"/>
    <w:rsid w:val="007D54BB"/>
    <w:rsid w:val="007D5560"/>
    <w:rsid w:val="007D62FA"/>
    <w:rsid w:val="007D6C26"/>
    <w:rsid w:val="007D6F09"/>
    <w:rsid w:val="007D76DA"/>
    <w:rsid w:val="007D773F"/>
    <w:rsid w:val="007D7CBB"/>
    <w:rsid w:val="007E0F39"/>
    <w:rsid w:val="007E375D"/>
    <w:rsid w:val="007E3B4B"/>
    <w:rsid w:val="007E42E2"/>
    <w:rsid w:val="007E457F"/>
    <w:rsid w:val="007E4C8D"/>
    <w:rsid w:val="007E594C"/>
    <w:rsid w:val="007E7B99"/>
    <w:rsid w:val="007F0911"/>
    <w:rsid w:val="007F1A06"/>
    <w:rsid w:val="007F1B4D"/>
    <w:rsid w:val="007F223F"/>
    <w:rsid w:val="007F22D4"/>
    <w:rsid w:val="007F4B97"/>
    <w:rsid w:val="007F5744"/>
    <w:rsid w:val="007F6456"/>
    <w:rsid w:val="00800139"/>
    <w:rsid w:val="0080149A"/>
    <w:rsid w:val="0080197C"/>
    <w:rsid w:val="00801FA6"/>
    <w:rsid w:val="008029DB"/>
    <w:rsid w:val="008029E5"/>
    <w:rsid w:val="00802AEF"/>
    <w:rsid w:val="00802DD3"/>
    <w:rsid w:val="00802FE0"/>
    <w:rsid w:val="00803386"/>
    <w:rsid w:val="008041BC"/>
    <w:rsid w:val="00804C6C"/>
    <w:rsid w:val="008055F6"/>
    <w:rsid w:val="00805808"/>
    <w:rsid w:val="00805B00"/>
    <w:rsid w:val="0081076A"/>
    <w:rsid w:val="00810ADF"/>
    <w:rsid w:val="0081216E"/>
    <w:rsid w:val="0081296E"/>
    <w:rsid w:val="00812F6C"/>
    <w:rsid w:val="00813793"/>
    <w:rsid w:val="008138B2"/>
    <w:rsid w:val="00814431"/>
    <w:rsid w:val="00815246"/>
    <w:rsid w:val="00815A52"/>
    <w:rsid w:val="00815E12"/>
    <w:rsid w:val="00816650"/>
    <w:rsid w:val="008167A7"/>
    <w:rsid w:val="008179BF"/>
    <w:rsid w:val="00817C4A"/>
    <w:rsid w:val="008208BA"/>
    <w:rsid w:val="00820C8C"/>
    <w:rsid w:val="00821D61"/>
    <w:rsid w:val="00823231"/>
    <w:rsid w:val="0082347A"/>
    <w:rsid w:val="008268BA"/>
    <w:rsid w:val="00826E7C"/>
    <w:rsid w:val="00827619"/>
    <w:rsid w:val="00830393"/>
    <w:rsid w:val="00830737"/>
    <w:rsid w:val="0083156C"/>
    <w:rsid w:val="0083161C"/>
    <w:rsid w:val="00832BC1"/>
    <w:rsid w:val="00832EE6"/>
    <w:rsid w:val="00832FE1"/>
    <w:rsid w:val="00833D5A"/>
    <w:rsid w:val="00835385"/>
    <w:rsid w:val="008365BC"/>
    <w:rsid w:val="00837A04"/>
    <w:rsid w:val="00840071"/>
    <w:rsid w:val="0084336B"/>
    <w:rsid w:val="00844325"/>
    <w:rsid w:val="0084498B"/>
    <w:rsid w:val="00846048"/>
    <w:rsid w:val="00846121"/>
    <w:rsid w:val="0084738A"/>
    <w:rsid w:val="00847653"/>
    <w:rsid w:val="008525B4"/>
    <w:rsid w:val="00852B2F"/>
    <w:rsid w:val="00853933"/>
    <w:rsid w:val="008562E4"/>
    <w:rsid w:val="00860EE7"/>
    <w:rsid w:val="008617FE"/>
    <w:rsid w:val="0086343A"/>
    <w:rsid w:val="00863C3A"/>
    <w:rsid w:val="0086428B"/>
    <w:rsid w:val="00865C57"/>
    <w:rsid w:val="008662E3"/>
    <w:rsid w:val="0086677D"/>
    <w:rsid w:val="00871498"/>
    <w:rsid w:val="00871FCB"/>
    <w:rsid w:val="00872127"/>
    <w:rsid w:val="00872CBF"/>
    <w:rsid w:val="00873113"/>
    <w:rsid w:val="008738B0"/>
    <w:rsid w:val="00873E47"/>
    <w:rsid w:val="00874162"/>
    <w:rsid w:val="0087433B"/>
    <w:rsid w:val="0087452F"/>
    <w:rsid w:val="008754EC"/>
    <w:rsid w:val="00875D4B"/>
    <w:rsid w:val="00876B88"/>
    <w:rsid w:val="00877A81"/>
    <w:rsid w:val="00880247"/>
    <w:rsid w:val="00880BC0"/>
    <w:rsid w:val="00881CD2"/>
    <w:rsid w:val="00881F03"/>
    <w:rsid w:val="0088322E"/>
    <w:rsid w:val="0088481A"/>
    <w:rsid w:val="00886732"/>
    <w:rsid w:val="00886798"/>
    <w:rsid w:val="00891A0D"/>
    <w:rsid w:val="00892DD8"/>
    <w:rsid w:val="00892E67"/>
    <w:rsid w:val="008931F6"/>
    <w:rsid w:val="008932ED"/>
    <w:rsid w:val="00893B63"/>
    <w:rsid w:val="00896480"/>
    <w:rsid w:val="008A3DFF"/>
    <w:rsid w:val="008A4294"/>
    <w:rsid w:val="008A491F"/>
    <w:rsid w:val="008A4A4A"/>
    <w:rsid w:val="008A4D61"/>
    <w:rsid w:val="008A510C"/>
    <w:rsid w:val="008A5ED9"/>
    <w:rsid w:val="008A7307"/>
    <w:rsid w:val="008A74E6"/>
    <w:rsid w:val="008B094C"/>
    <w:rsid w:val="008B1682"/>
    <w:rsid w:val="008B261D"/>
    <w:rsid w:val="008B374A"/>
    <w:rsid w:val="008B3CAE"/>
    <w:rsid w:val="008B46F8"/>
    <w:rsid w:val="008B4A27"/>
    <w:rsid w:val="008B4C8F"/>
    <w:rsid w:val="008B6780"/>
    <w:rsid w:val="008B7156"/>
    <w:rsid w:val="008B776F"/>
    <w:rsid w:val="008B7ADD"/>
    <w:rsid w:val="008C06A3"/>
    <w:rsid w:val="008C07ED"/>
    <w:rsid w:val="008C1FD8"/>
    <w:rsid w:val="008C2CED"/>
    <w:rsid w:val="008C3D65"/>
    <w:rsid w:val="008C42C6"/>
    <w:rsid w:val="008C4473"/>
    <w:rsid w:val="008C5568"/>
    <w:rsid w:val="008C72D3"/>
    <w:rsid w:val="008D282E"/>
    <w:rsid w:val="008D3109"/>
    <w:rsid w:val="008D3FA8"/>
    <w:rsid w:val="008D5F25"/>
    <w:rsid w:val="008D5FDB"/>
    <w:rsid w:val="008D77CB"/>
    <w:rsid w:val="008E06F0"/>
    <w:rsid w:val="008E17F5"/>
    <w:rsid w:val="008E2339"/>
    <w:rsid w:val="008E2798"/>
    <w:rsid w:val="008E2EF9"/>
    <w:rsid w:val="008E379D"/>
    <w:rsid w:val="008E39D7"/>
    <w:rsid w:val="008E6864"/>
    <w:rsid w:val="008E6BBF"/>
    <w:rsid w:val="008F01E7"/>
    <w:rsid w:val="008F0C01"/>
    <w:rsid w:val="008F0C19"/>
    <w:rsid w:val="008F17AE"/>
    <w:rsid w:val="008F1882"/>
    <w:rsid w:val="008F2132"/>
    <w:rsid w:val="008F266C"/>
    <w:rsid w:val="008F386F"/>
    <w:rsid w:val="008F4D68"/>
    <w:rsid w:val="008F5F87"/>
    <w:rsid w:val="008F6561"/>
    <w:rsid w:val="008F7814"/>
    <w:rsid w:val="00900B9C"/>
    <w:rsid w:val="00901029"/>
    <w:rsid w:val="009011EC"/>
    <w:rsid w:val="0090123C"/>
    <w:rsid w:val="009017CB"/>
    <w:rsid w:val="00902982"/>
    <w:rsid w:val="00903D0E"/>
    <w:rsid w:val="0090645D"/>
    <w:rsid w:val="009068E5"/>
    <w:rsid w:val="00907CAB"/>
    <w:rsid w:val="0091091E"/>
    <w:rsid w:val="00911F4D"/>
    <w:rsid w:val="00912571"/>
    <w:rsid w:val="009132B5"/>
    <w:rsid w:val="00915B1F"/>
    <w:rsid w:val="00915F89"/>
    <w:rsid w:val="009161B7"/>
    <w:rsid w:val="009162F1"/>
    <w:rsid w:val="009172D1"/>
    <w:rsid w:val="0092001A"/>
    <w:rsid w:val="00920664"/>
    <w:rsid w:val="00920F81"/>
    <w:rsid w:val="00922271"/>
    <w:rsid w:val="009257C9"/>
    <w:rsid w:val="00926146"/>
    <w:rsid w:val="00927405"/>
    <w:rsid w:val="00927B4A"/>
    <w:rsid w:val="0093011A"/>
    <w:rsid w:val="00931052"/>
    <w:rsid w:val="009315BA"/>
    <w:rsid w:val="009317E7"/>
    <w:rsid w:val="00931BF2"/>
    <w:rsid w:val="00931F4D"/>
    <w:rsid w:val="009322CB"/>
    <w:rsid w:val="0093311A"/>
    <w:rsid w:val="00933845"/>
    <w:rsid w:val="009338FE"/>
    <w:rsid w:val="0093487D"/>
    <w:rsid w:val="00935023"/>
    <w:rsid w:val="00935BDB"/>
    <w:rsid w:val="00936201"/>
    <w:rsid w:val="00937C0F"/>
    <w:rsid w:val="00937F49"/>
    <w:rsid w:val="0094007F"/>
    <w:rsid w:val="009408AE"/>
    <w:rsid w:val="00940FEF"/>
    <w:rsid w:val="0094159D"/>
    <w:rsid w:val="009421D4"/>
    <w:rsid w:val="009423F8"/>
    <w:rsid w:val="00943A3D"/>
    <w:rsid w:val="00943F6B"/>
    <w:rsid w:val="00944103"/>
    <w:rsid w:val="00944B22"/>
    <w:rsid w:val="009450C3"/>
    <w:rsid w:val="0094512B"/>
    <w:rsid w:val="00945939"/>
    <w:rsid w:val="00946263"/>
    <w:rsid w:val="00946A8F"/>
    <w:rsid w:val="009510D5"/>
    <w:rsid w:val="009510EA"/>
    <w:rsid w:val="00951257"/>
    <w:rsid w:val="009519FA"/>
    <w:rsid w:val="00951A38"/>
    <w:rsid w:val="00952B04"/>
    <w:rsid w:val="00953CD3"/>
    <w:rsid w:val="0095426A"/>
    <w:rsid w:val="009544DB"/>
    <w:rsid w:val="00954A8A"/>
    <w:rsid w:val="00954CB1"/>
    <w:rsid w:val="00954CE4"/>
    <w:rsid w:val="009556E0"/>
    <w:rsid w:val="0095594F"/>
    <w:rsid w:val="009574D0"/>
    <w:rsid w:val="00961676"/>
    <w:rsid w:val="0096391D"/>
    <w:rsid w:val="009652AD"/>
    <w:rsid w:val="00966ACD"/>
    <w:rsid w:val="00966AFD"/>
    <w:rsid w:val="00967C33"/>
    <w:rsid w:val="009706B1"/>
    <w:rsid w:val="00971072"/>
    <w:rsid w:val="00971431"/>
    <w:rsid w:val="009714E1"/>
    <w:rsid w:val="00971891"/>
    <w:rsid w:val="00971D79"/>
    <w:rsid w:val="00971D96"/>
    <w:rsid w:val="0097265B"/>
    <w:rsid w:val="00972A41"/>
    <w:rsid w:val="00974BFD"/>
    <w:rsid w:val="00974DD6"/>
    <w:rsid w:val="0097504D"/>
    <w:rsid w:val="009759ED"/>
    <w:rsid w:val="00975E01"/>
    <w:rsid w:val="0097610F"/>
    <w:rsid w:val="00977BFE"/>
    <w:rsid w:val="009806A5"/>
    <w:rsid w:val="009808ED"/>
    <w:rsid w:val="0098098C"/>
    <w:rsid w:val="00981B6F"/>
    <w:rsid w:val="00982163"/>
    <w:rsid w:val="00983327"/>
    <w:rsid w:val="009836B5"/>
    <w:rsid w:val="00984256"/>
    <w:rsid w:val="0098458F"/>
    <w:rsid w:val="009847F4"/>
    <w:rsid w:val="00984D52"/>
    <w:rsid w:val="00985134"/>
    <w:rsid w:val="0098662C"/>
    <w:rsid w:val="00986BC2"/>
    <w:rsid w:val="009922D4"/>
    <w:rsid w:val="0099337C"/>
    <w:rsid w:val="0099343E"/>
    <w:rsid w:val="00994297"/>
    <w:rsid w:val="00995662"/>
    <w:rsid w:val="00995982"/>
    <w:rsid w:val="00995BB3"/>
    <w:rsid w:val="00995F64"/>
    <w:rsid w:val="009968E0"/>
    <w:rsid w:val="0099781B"/>
    <w:rsid w:val="009A133B"/>
    <w:rsid w:val="009A1437"/>
    <w:rsid w:val="009A1461"/>
    <w:rsid w:val="009A1709"/>
    <w:rsid w:val="009A1BDB"/>
    <w:rsid w:val="009A1DEA"/>
    <w:rsid w:val="009A32AC"/>
    <w:rsid w:val="009A3F00"/>
    <w:rsid w:val="009A4F44"/>
    <w:rsid w:val="009A54F3"/>
    <w:rsid w:val="009A5C50"/>
    <w:rsid w:val="009B010A"/>
    <w:rsid w:val="009B0EEE"/>
    <w:rsid w:val="009B20D1"/>
    <w:rsid w:val="009B29B0"/>
    <w:rsid w:val="009B3A5E"/>
    <w:rsid w:val="009B5093"/>
    <w:rsid w:val="009B55FE"/>
    <w:rsid w:val="009B7070"/>
    <w:rsid w:val="009B7C85"/>
    <w:rsid w:val="009B7F33"/>
    <w:rsid w:val="009C0D50"/>
    <w:rsid w:val="009C13CA"/>
    <w:rsid w:val="009C1527"/>
    <w:rsid w:val="009C363E"/>
    <w:rsid w:val="009C446A"/>
    <w:rsid w:val="009C44C8"/>
    <w:rsid w:val="009C45DB"/>
    <w:rsid w:val="009C4CFF"/>
    <w:rsid w:val="009C53A9"/>
    <w:rsid w:val="009C5F20"/>
    <w:rsid w:val="009C6D46"/>
    <w:rsid w:val="009C715B"/>
    <w:rsid w:val="009C7CE8"/>
    <w:rsid w:val="009D0B95"/>
    <w:rsid w:val="009D0CBA"/>
    <w:rsid w:val="009D1F21"/>
    <w:rsid w:val="009D27C5"/>
    <w:rsid w:val="009D3E56"/>
    <w:rsid w:val="009D5261"/>
    <w:rsid w:val="009D56FB"/>
    <w:rsid w:val="009D6648"/>
    <w:rsid w:val="009D7069"/>
    <w:rsid w:val="009E0487"/>
    <w:rsid w:val="009E0ADF"/>
    <w:rsid w:val="009E265A"/>
    <w:rsid w:val="009E2AF9"/>
    <w:rsid w:val="009E2D4F"/>
    <w:rsid w:val="009E2FB3"/>
    <w:rsid w:val="009E3D75"/>
    <w:rsid w:val="009E3EB2"/>
    <w:rsid w:val="009E4E56"/>
    <w:rsid w:val="009E7CF8"/>
    <w:rsid w:val="009F118F"/>
    <w:rsid w:val="009F33E7"/>
    <w:rsid w:val="009F4F0F"/>
    <w:rsid w:val="009F5B3A"/>
    <w:rsid w:val="009F60BF"/>
    <w:rsid w:val="009F6934"/>
    <w:rsid w:val="009F74DF"/>
    <w:rsid w:val="00A01C5D"/>
    <w:rsid w:val="00A034A2"/>
    <w:rsid w:val="00A03CB0"/>
    <w:rsid w:val="00A054DB"/>
    <w:rsid w:val="00A05E9F"/>
    <w:rsid w:val="00A075D7"/>
    <w:rsid w:val="00A10234"/>
    <w:rsid w:val="00A11934"/>
    <w:rsid w:val="00A11A9E"/>
    <w:rsid w:val="00A12046"/>
    <w:rsid w:val="00A13D92"/>
    <w:rsid w:val="00A154DE"/>
    <w:rsid w:val="00A156C7"/>
    <w:rsid w:val="00A16117"/>
    <w:rsid w:val="00A1692D"/>
    <w:rsid w:val="00A173D0"/>
    <w:rsid w:val="00A2180D"/>
    <w:rsid w:val="00A21B7B"/>
    <w:rsid w:val="00A21DD4"/>
    <w:rsid w:val="00A228AC"/>
    <w:rsid w:val="00A22E82"/>
    <w:rsid w:val="00A232E9"/>
    <w:rsid w:val="00A24283"/>
    <w:rsid w:val="00A244E8"/>
    <w:rsid w:val="00A24738"/>
    <w:rsid w:val="00A25692"/>
    <w:rsid w:val="00A25B29"/>
    <w:rsid w:val="00A25CB6"/>
    <w:rsid w:val="00A26F82"/>
    <w:rsid w:val="00A31C36"/>
    <w:rsid w:val="00A329DF"/>
    <w:rsid w:val="00A33A0D"/>
    <w:rsid w:val="00A33BC7"/>
    <w:rsid w:val="00A33DED"/>
    <w:rsid w:val="00A36497"/>
    <w:rsid w:val="00A3702F"/>
    <w:rsid w:val="00A3786C"/>
    <w:rsid w:val="00A37D70"/>
    <w:rsid w:val="00A4034C"/>
    <w:rsid w:val="00A4095F"/>
    <w:rsid w:val="00A4125B"/>
    <w:rsid w:val="00A41400"/>
    <w:rsid w:val="00A41F59"/>
    <w:rsid w:val="00A42F33"/>
    <w:rsid w:val="00A43909"/>
    <w:rsid w:val="00A43A7E"/>
    <w:rsid w:val="00A4611B"/>
    <w:rsid w:val="00A462A5"/>
    <w:rsid w:val="00A46C00"/>
    <w:rsid w:val="00A470F9"/>
    <w:rsid w:val="00A479C0"/>
    <w:rsid w:val="00A47EED"/>
    <w:rsid w:val="00A5125C"/>
    <w:rsid w:val="00A517B3"/>
    <w:rsid w:val="00A51FB0"/>
    <w:rsid w:val="00A524D7"/>
    <w:rsid w:val="00A53902"/>
    <w:rsid w:val="00A54B2F"/>
    <w:rsid w:val="00A54FC1"/>
    <w:rsid w:val="00A57030"/>
    <w:rsid w:val="00A57F83"/>
    <w:rsid w:val="00A62D45"/>
    <w:rsid w:val="00A62D97"/>
    <w:rsid w:val="00A62EB5"/>
    <w:rsid w:val="00A6331A"/>
    <w:rsid w:val="00A635B1"/>
    <w:rsid w:val="00A636A8"/>
    <w:rsid w:val="00A64F24"/>
    <w:rsid w:val="00A660F4"/>
    <w:rsid w:val="00A662D3"/>
    <w:rsid w:val="00A66BFD"/>
    <w:rsid w:val="00A704A2"/>
    <w:rsid w:val="00A704BA"/>
    <w:rsid w:val="00A70A6C"/>
    <w:rsid w:val="00A71305"/>
    <w:rsid w:val="00A71959"/>
    <w:rsid w:val="00A71C95"/>
    <w:rsid w:val="00A727E2"/>
    <w:rsid w:val="00A733AF"/>
    <w:rsid w:val="00A7645F"/>
    <w:rsid w:val="00A77AE2"/>
    <w:rsid w:val="00A80864"/>
    <w:rsid w:val="00A80B1A"/>
    <w:rsid w:val="00A80DC5"/>
    <w:rsid w:val="00A8113F"/>
    <w:rsid w:val="00A81973"/>
    <w:rsid w:val="00A81F37"/>
    <w:rsid w:val="00A8231E"/>
    <w:rsid w:val="00A830B9"/>
    <w:rsid w:val="00A83845"/>
    <w:rsid w:val="00A838F8"/>
    <w:rsid w:val="00A83AAD"/>
    <w:rsid w:val="00A849BA"/>
    <w:rsid w:val="00A85EF3"/>
    <w:rsid w:val="00A85FE1"/>
    <w:rsid w:val="00A86202"/>
    <w:rsid w:val="00A868EE"/>
    <w:rsid w:val="00A876AC"/>
    <w:rsid w:val="00A90E96"/>
    <w:rsid w:val="00A91FDF"/>
    <w:rsid w:val="00A925A4"/>
    <w:rsid w:val="00A94CAE"/>
    <w:rsid w:val="00A957E3"/>
    <w:rsid w:val="00A9648A"/>
    <w:rsid w:val="00A96B7E"/>
    <w:rsid w:val="00A97B00"/>
    <w:rsid w:val="00A97C53"/>
    <w:rsid w:val="00AA027E"/>
    <w:rsid w:val="00AA0332"/>
    <w:rsid w:val="00AA04FE"/>
    <w:rsid w:val="00AA073C"/>
    <w:rsid w:val="00AA081F"/>
    <w:rsid w:val="00AA09A1"/>
    <w:rsid w:val="00AA0B87"/>
    <w:rsid w:val="00AA1794"/>
    <w:rsid w:val="00AA2296"/>
    <w:rsid w:val="00AA697B"/>
    <w:rsid w:val="00AA7755"/>
    <w:rsid w:val="00AB121A"/>
    <w:rsid w:val="00AB1B36"/>
    <w:rsid w:val="00AB2054"/>
    <w:rsid w:val="00AB3944"/>
    <w:rsid w:val="00AB3AB5"/>
    <w:rsid w:val="00AB54B7"/>
    <w:rsid w:val="00AB56A9"/>
    <w:rsid w:val="00AB58E5"/>
    <w:rsid w:val="00AB58FC"/>
    <w:rsid w:val="00AB6022"/>
    <w:rsid w:val="00AB622F"/>
    <w:rsid w:val="00AB65C6"/>
    <w:rsid w:val="00AB73F3"/>
    <w:rsid w:val="00AB795A"/>
    <w:rsid w:val="00AB7EE3"/>
    <w:rsid w:val="00AC0615"/>
    <w:rsid w:val="00AC1561"/>
    <w:rsid w:val="00AC23DA"/>
    <w:rsid w:val="00AC3750"/>
    <w:rsid w:val="00AC4358"/>
    <w:rsid w:val="00AC56F8"/>
    <w:rsid w:val="00AC7727"/>
    <w:rsid w:val="00AC7ABF"/>
    <w:rsid w:val="00AD017F"/>
    <w:rsid w:val="00AD031A"/>
    <w:rsid w:val="00AD2212"/>
    <w:rsid w:val="00AD44AD"/>
    <w:rsid w:val="00AD46D4"/>
    <w:rsid w:val="00AD477E"/>
    <w:rsid w:val="00AD48C9"/>
    <w:rsid w:val="00AD4F54"/>
    <w:rsid w:val="00AD5B91"/>
    <w:rsid w:val="00AD5C83"/>
    <w:rsid w:val="00AD5D45"/>
    <w:rsid w:val="00AD7480"/>
    <w:rsid w:val="00AE23F7"/>
    <w:rsid w:val="00AE2684"/>
    <w:rsid w:val="00AE30BF"/>
    <w:rsid w:val="00AE30D4"/>
    <w:rsid w:val="00AE3560"/>
    <w:rsid w:val="00AE381E"/>
    <w:rsid w:val="00AE3BDD"/>
    <w:rsid w:val="00AE3F2E"/>
    <w:rsid w:val="00AE5AAF"/>
    <w:rsid w:val="00AE5C9F"/>
    <w:rsid w:val="00AE6405"/>
    <w:rsid w:val="00AE6DD3"/>
    <w:rsid w:val="00AE7065"/>
    <w:rsid w:val="00AE7A4C"/>
    <w:rsid w:val="00AF1FE9"/>
    <w:rsid w:val="00AF20B3"/>
    <w:rsid w:val="00AF2273"/>
    <w:rsid w:val="00AF29A2"/>
    <w:rsid w:val="00AF2FFE"/>
    <w:rsid w:val="00AF3326"/>
    <w:rsid w:val="00AF552F"/>
    <w:rsid w:val="00AF5F7D"/>
    <w:rsid w:val="00AF7A12"/>
    <w:rsid w:val="00B01A01"/>
    <w:rsid w:val="00B01DF1"/>
    <w:rsid w:val="00B02958"/>
    <w:rsid w:val="00B02A36"/>
    <w:rsid w:val="00B03F69"/>
    <w:rsid w:val="00B03FDF"/>
    <w:rsid w:val="00B043DB"/>
    <w:rsid w:val="00B04CB7"/>
    <w:rsid w:val="00B04F63"/>
    <w:rsid w:val="00B052A7"/>
    <w:rsid w:val="00B0629C"/>
    <w:rsid w:val="00B108EE"/>
    <w:rsid w:val="00B11692"/>
    <w:rsid w:val="00B15EBB"/>
    <w:rsid w:val="00B16AD9"/>
    <w:rsid w:val="00B16F09"/>
    <w:rsid w:val="00B16FF7"/>
    <w:rsid w:val="00B17406"/>
    <w:rsid w:val="00B201E8"/>
    <w:rsid w:val="00B21078"/>
    <w:rsid w:val="00B217DD"/>
    <w:rsid w:val="00B21833"/>
    <w:rsid w:val="00B21BAF"/>
    <w:rsid w:val="00B23AE2"/>
    <w:rsid w:val="00B2468C"/>
    <w:rsid w:val="00B252C8"/>
    <w:rsid w:val="00B27241"/>
    <w:rsid w:val="00B30130"/>
    <w:rsid w:val="00B31028"/>
    <w:rsid w:val="00B31272"/>
    <w:rsid w:val="00B32136"/>
    <w:rsid w:val="00B32E6F"/>
    <w:rsid w:val="00B33904"/>
    <w:rsid w:val="00B33BCE"/>
    <w:rsid w:val="00B33C06"/>
    <w:rsid w:val="00B347C7"/>
    <w:rsid w:val="00B34F40"/>
    <w:rsid w:val="00B35779"/>
    <w:rsid w:val="00B36D77"/>
    <w:rsid w:val="00B37393"/>
    <w:rsid w:val="00B379D6"/>
    <w:rsid w:val="00B414B0"/>
    <w:rsid w:val="00B41A26"/>
    <w:rsid w:val="00B449FF"/>
    <w:rsid w:val="00B45862"/>
    <w:rsid w:val="00B45DB1"/>
    <w:rsid w:val="00B46A8A"/>
    <w:rsid w:val="00B46E35"/>
    <w:rsid w:val="00B47065"/>
    <w:rsid w:val="00B47B7A"/>
    <w:rsid w:val="00B50513"/>
    <w:rsid w:val="00B506C9"/>
    <w:rsid w:val="00B52994"/>
    <w:rsid w:val="00B52EA1"/>
    <w:rsid w:val="00B53154"/>
    <w:rsid w:val="00B53BB7"/>
    <w:rsid w:val="00B53D6F"/>
    <w:rsid w:val="00B54701"/>
    <w:rsid w:val="00B56143"/>
    <w:rsid w:val="00B5657D"/>
    <w:rsid w:val="00B568CD"/>
    <w:rsid w:val="00B56A51"/>
    <w:rsid w:val="00B5716B"/>
    <w:rsid w:val="00B60848"/>
    <w:rsid w:val="00B610B7"/>
    <w:rsid w:val="00B64CFF"/>
    <w:rsid w:val="00B6572B"/>
    <w:rsid w:val="00B659E6"/>
    <w:rsid w:val="00B66B1C"/>
    <w:rsid w:val="00B67846"/>
    <w:rsid w:val="00B678CE"/>
    <w:rsid w:val="00B67DA7"/>
    <w:rsid w:val="00B70B9B"/>
    <w:rsid w:val="00B71265"/>
    <w:rsid w:val="00B71398"/>
    <w:rsid w:val="00B72B32"/>
    <w:rsid w:val="00B7455A"/>
    <w:rsid w:val="00B74F6B"/>
    <w:rsid w:val="00B76C19"/>
    <w:rsid w:val="00B76F75"/>
    <w:rsid w:val="00B8068C"/>
    <w:rsid w:val="00B81657"/>
    <w:rsid w:val="00B823EE"/>
    <w:rsid w:val="00B82791"/>
    <w:rsid w:val="00B82792"/>
    <w:rsid w:val="00B83809"/>
    <w:rsid w:val="00B846B9"/>
    <w:rsid w:val="00B85565"/>
    <w:rsid w:val="00B862A8"/>
    <w:rsid w:val="00B86311"/>
    <w:rsid w:val="00B864A0"/>
    <w:rsid w:val="00B900E6"/>
    <w:rsid w:val="00B929B3"/>
    <w:rsid w:val="00B93634"/>
    <w:rsid w:val="00B943BF"/>
    <w:rsid w:val="00B97205"/>
    <w:rsid w:val="00B97237"/>
    <w:rsid w:val="00B97909"/>
    <w:rsid w:val="00B97B78"/>
    <w:rsid w:val="00BA02EE"/>
    <w:rsid w:val="00BA1BD7"/>
    <w:rsid w:val="00BA27C8"/>
    <w:rsid w:val="00BA2AE7"/>
    <w:rsid w:val="00BA47A4"/>
    <w:rsid w:val="00BA4D6D"/>
    <w:rsid w:val="00BA6B04"/>
    <w:rsid w:val="00BA7654"/>
    <w:rsid w:val="00BB0E9D"/>
    <w:rsid w:val="00BB2734"/>
    <w:rsid w:val="00BB301C"/>
    <w:rsid w:val="00BB4A52"/>
    <w:rsid w:val="00BB780C"/>
    <w:rsid w:val="00BC2133"/>
    <w:rsid w:val="00BC27B4"/>
    <w:rsid w:val="00BC36D1"/>
    <w:rsid w:val="00BC4657"/>
    <w:rsid w:val="00BC4957"/>
    <w:rsid w:val="00BC4F29"/>
    <w:rsid w:val="00BC57A2"/>
    <w:rsid w:val="00BC66E4"/>
    <w:rsid w:val="00BC77AA"/>
    <w:rsid w:val="00BC7830"/>
    <w:rsid w:val="00BD07AD"/>
    <w:rsid w:val="00BD1262"/>
    <w:rsid w:val="00BD185F"/>
    <w:rsid w:val="00BD2928"/>
    <w:rsid w:val="00BD3EE8"/>
    <w:rsid w:val="00BD4FC1"/>
    <w:rsid w:val="00BD5264"/>
    <w:rsid w:val="00BD5904"/>
    <w:rsid w:val="00BE071D"/>
    <w:rsid w:val="00BE0D9F"/>
    <w:rsid w:val="00BE14A6"/>
    <w:rsid w:val="00BE4F3A"/>
    <w:rsid w:val="00BE5D7C"/>
    <w:rsid w:val="00BE77B9"/>
    <w:rsid w:val="00BF0C43"/>
    <w:rsid w:val="00BF1A7B"/>
    <w:rsid w:val="00BF26A0"/>
    <w:rsid w:val="00BF2749"/>
    <w:rsid w:val="00BF4CDA"/>
    <w:rsid w:val="00BF549D"/>
    <w:rsid w:val="00BF66A3"/>
    <w:rsid w:val="00BF78CE"/>
    <w:rsid w:val="00BF7D2D"/>
    <w:rsid w:val="00C003F4"/>
    <w:rsid w:val="00C019A6"/>
    <w:rsid w:val="00C022B6"/>
    <w:rsid w:val="00C030FB"/>
    <w:rsid w:val="00C045B0"/>
    <w:rsid w:val="00C0623E"/>
    <w:rsid w:val="00C07897"/>
    <w:rsid w:val="00C101C7"/>
    <w:rsid w:val="00C12015"/>
    <w:rsid w:val="00C120CB"/>
    <w:rsid w:val="00C13997"/>
    <w:rsid w:val="00C13E07"/>
    <w:rsid w:val="00C14A4A"/>
    <w:rsid w:val="00C14F2D"/>
    <w:rsid w:val="00C16F59"/>
    <w:rsid w:val="00C20039"/>
    <w:rsid w:val="00C21B93"/>
    <w:rsid w:val="00C21BD3"/>
    <w:rsid w:val="00C22C24"/>
    <w:rsid w:val="00C24AB8"/>
    <w:rsid w:val="00C24E80"/>
    <w:rsid w:val="00C24FD0"/>
    <w:rsid w:val="00C26CA7"/>
    <w:rsid w:val="00C27084"/>
    <w:rsid w:val="00C31043"/>
    <w:rsid w:val="00C31581"/>
    <w:rsid w:val="00C31802"/>
    <w:rsid w:val="00C31CCC"/>
    <w:rsid w:val="00C3202E"/>
    <w:rsid w:val="00C32347"/>
    <w:rsid w:val="00C35443"/>
    <w:rsid w:val="00C35B4E"/>
    <w:rsid w:val="00C37A57"/>
    <w:rsid w:val="00C37EC1"/>
    <w:rsid w:val="00C37F1B"/>
    <w:rsid w:val="00C403F3"/>
    <w:rsid w:val="00C41BF8"/>
    <w:rsid w:val="00C4210A"/>
    <w:rsid w:val="00C42654"/>
    <w:rsid w:val="00C431B8"/>
    <w:rsid w:val="00C437DA"/>
    <w:rsid w:val="00C4529A"/>
    <w:rsid w:val="00C46CC5"/>
    <w:rsid w:val="00C52355"/>
    <w:rsid w:val="00C524C4"/>
    <w:rsid w:val="00C55F8A"/>
    <w:rsid w:val="00C56ED9"/>
    <w:rsid w:val="00C572A2"/>
    <w:rsid w:val="00C57823"/>
    <w:rsid w:val="00C60376"/>
    <w:rsid w:val="00C60656"/>
    <w:rsid w:val="00C6098A"/>
    <w:rsid w:val="00C60AEF"/>
    <w:rsid w:val="00C62FF7"/>
    <w:rsid w:val="00C63324"/>
    <w:rsid w:val="00C63974"/>
    <w:rsid w:val="00C64695"/>
    <w:rsid w:val="00C65222"/>
    <w:rsid w:val="00C65805"/>
    <w:rsid w:val="00C7037A"/>
    <w:rsid w:val="00C70EE6"/>
    <w:rsid w:val="00C724FB"/>
    <w:rsid w:val="00C72CF4"/>
    <w:rsid w:val="00C730FE"/>
    <w:rsid w:val="00C7429F"/>
    <w:rsid w:val="00C75315"/>
    <w:rsid w:val="00C754AE"/>
    <w:rsid w:val="00C7582F"/>
    <w:rsid w:val="00C76007"/>
    <w:rsid w:val="00C7650C"/>
    <w:rsid w:val="00C7676E"/>
    <w:rsid w:val="00C7714C"/>
    <w:rsid w:val="00C77FF9"/>
    <w:rsid w:val="00C803D6"/>
    <w:rsid w:val="00C8098B"/>
    <w:rsid w:val="00C81BAD"/>
    <w:rsid w:val="00C81F4B"/>
    <w:rsid w:val="00C86876"/>
    <w:rsid w:val="00C86CCE"/>
    <w:rsid w:val="00C90E4D"/>
    <w:rsid w:val="00C91476"/>
    <w:rsid w:val="00C9161D"/>
    <w:rsid w:val="00C91C12"/>
    <w:rsid w:val="00C948E9"/>
    <w:rsid w:val="00C96CDA"/>
    <w:rsid w:val="00C9798C"/>
    <w:rsid w:val="00C97FD1"/>
    <w:rsid w:val="00CA0154"/>
    <w:rsid w:val="00CA02D1"/>
    <w:rsid w:val="00CA0351"/>
    <w:rsid w:val="00CA081E"/>
    <w:rsid w:val="00CA0C0E"/>
    <w:rsid w:val="00CA22BE"/>
    <w:rsid w:val="00CA399E"/>
    <w:rsid w:val="00CA3A89"/>
    <w:rsid w:val="00CA3B36"/>
    <w:rsid w:val="00CA3BCC"/>
    <w:rsid w:val="00CA44A8"/>
    <w:rsid w:val="00CA455B"/>
    <w:rsid w:val="00CA481F"/>
    <w:rsid w:val="00CA4A0C"/>
    <w:rsid w:val="00CA5014"/>
    <w:rsid w:val="00CA5D38"/>
    <w:rsid w:val="00CA5E2C"/>
    <w:rsid w:val="00CA5F22"/>
    <w:rsid w:val="00CA68BE"/>
    <w:rsid w:val="00CA69CE"/>
    <w:rsid w:val="00CA71CB"/>
    <w:rsid w:val="00CB00F7"/>
    <w:rsid w:val="00CB08CF"/>
    <w:rsid w:val="00CB12C8"/>
    <w:rsid w:val="00CB1B58"/>
    <w:rsid w:val="00CB1CB3"/>
    <w:rsid w:val="00CB2F15"/>
    <w:rsid w:val="00CB32EE"/>
    <w:rsid w:val="00CB37D8"/>
    <w:rsid w:val="00CB5AA2"/>
    <w:rsid w:val="00CB5B0B"/>
    <w:rsid w:val="00CB60F9"/>
    <w:rsid w:val="00CC31D7"/>
    <w:rsid w:val="00CC45BF"/>
    <w:rsid w:val="00CC4EA3"/>
    <w:rsid w:val="00CC551C"/>
    <w:rsid w:val="00CC57F2"/>
    <w:rsid w:val="00CC7823"/>
    <w:rsid w:val="00CD0FEE"/>
    <w:rsid w:val="00CD19D5"/>
    <w:rsid w:val="00CD1EB4"/>
    <w:rsid w:val="00CD2DE8"/>
    <w:rsid w:val="00CD3DED"/>
    <w:rsid w:val="00CD4CF7"/>
    <w:rsid w:val="00CD56B2"/>
    <w:rsid w:val="00CD5707"/>
    <w:rsid w:val="00CD5C9B"/>
    <w:rsid w:val="00CD658C"/>
    <w:rsid w:val="00CE0D4C"/>
    <w:rsid w:val="00CE10B6"/>
    <w:rsid w:val="00CE3711"/>
    <w:rsid w:val="00CE4F78"/>
    <w:rsid w:val="00CE7303"/>
    <w:rsid w:val="00CF29E4"/>
    <w:rsid w:val="00CF39FF"/>
    <w:rsid w:val="00CF4613"/>
    <w:rsid w:val="00CF5B7E"/>
    <w:rsid w:val="00CF5E4E"/>
    <w:rsid w:val="00CF67E3"/>
    <w:rsid w:val="00CF7EB5"/>
    <w:rsid w:val="00D00428"/>
    <w:rsid w:val="00D0277F"/>
    <w:rsid w:val="00D02EED"/>
    <w:rsid w:val="00D03A1A"/>
    <w:rsid w:val="00D05024"/>
    <w:rsid w:val="00D05FE7"/>
    <w:rsid w:val="00D06B29"/>
    <w:rsid w:val="00D06EBD"/>
    <w:rsid w:val="00D07766"/>
    <w:rsid w:val="00D102F7"/>
    <w:rsid w:val="00D10B43"/>
    <w:rsid w:val="00D10E6C"/>
    <w:rsid w:val="00D12022"/>
    <w:rsid w:val="00D1260A"/>
    <w:rsid w:val="00D15256"/>
    <w:rsid w:val="00D15D79"/>
    <w:rsid w:val="00D2147F"/>
    <w:rsid w:val="00D214EC"/>
    <w:rsid w:val="00D23553"/>
    <w:rsid w:val="00D23D15"/>
    <w:rsid w:val="00D23ECB"/>
    <w:rsid w:val="00D275C8"/>
    <w:rsid w:val="00D3322E"/>
    <w:rsid w:val="00D332C3"/>
    <w:rsid w:val="00D33750"/>
    <w:rsid w:val="00D34356"/>
    <w:rsid w:val="00D35409"/>
    <w:rsid w:val="00D35C69"/>
    <w:rsid w:val="00D35D7D"/>
    <w:rsid w:val="00D3760A"/>
    <w:rsid w:val="00D37D1E"/>
    <w:rsid w:val="00D37E2A"/>
    <w:rsid w:val="00D40A7F"/>
    <w:rsid w:val="00D40D1A"/>
    <w:rsid w:val="00D42DDC"/>
    <w:rsid w:val="00D441D4"/>
    <w:rsid w:val="00D44309"/>
    <w:rsid w:val="00D44327"/>
    <w:rsid w:val="00D446C7"/>
    <w:rsid w:val="00D44E4E"/>
    <w:rsid w:val="00D4594D"/>
    <w:rsid w:val="00D45F23"/>
    <w:rsid w:val="00D46183"/>
    <w:rsid w:val="00D4675B"/>
    <w:rsid w:val="00D475C1"/>
    <w:rsid w:val="00D50438"/>
    <w:rsid w:val="00D50557"/>
    <w:rsid w:val="00D51E92"/>
    <w:rsid w:val="00D51F0A"/>
    <w:rsid w:val="00D542BE"/>
    <w:rsid w:val="00D5487F"/>
    <w:rsid w:val="00D54EBB"/>
    <w:rsid w:val="00D5526B"/>
    <w:rsid w:val="00D560A1"/>
    <w:rsid w:val="00D57496"/>
    <w:rsid w:val="00D576F5"/>
    <w:rsid w:val="00D57DB5"/>
    <w:rsid w:val="00D57FED"/>
    <w:rsid w:val="00D60F2D"/>
    <w:rsid w:val="00D61033"/>
    <w:rsid w:val="00D6141F"/>
    <w:rsid w:val="00D626DB"/>
    <w:rsid w:val="00D63C6C"/>
    <w:rsid w:val="00D65DDA"/>
    <w:rsid w:val="00D66962"/>
    <w:rsid w:val="00D67346"/>
    <w:rsid w:val="00D67552"/>
    <w:rsid w:val="00D72284"/>
    <w:rsid w:val="00D7630C"/>
    <w:rsid w:val="00D77321"/>
    <w:rsid w:val="00D82827"/>
    <w:rsid w:val="00D831B3"/>
    <w:rsid w:val="00D854DE"/>
    <w:rsid w:val="00D85CA6"/>
    <w:rsid w:val="00D861D8"/>
    <w:rsid w:val="00D86F45"/>
    <w:rsid w:val="00D87D9C"/>
    <w:rsid w:val="00D90D53"/>
    <w:rsid w:val="00D92778"/>
    <w:rsid w:val="00D92B3B"/>
    <w:rsid w:val="00D935C8"/>
    <w:rsid w:val="00D96250"/>
    <w:rsid w:val="00D970CE"/>
    <w:rsid w:val="00D97301"/>
    <w:rsid w:val="00D976A6"/>
    <w:rsid w:val="00D979C0"/>
    <w:rsid w:val="00D97F19"/>
    <w:rsid w:val="00DA02A0"/>
    <w:rsid w:val="00DA0FC2"/>
    <w:rsid w:val="00DA3C76"/>
    <w:rsid w:val="00DA45C4"/>
    <w:rsid w:val="00DA698B"/>
    <w:rsid w:val="00DA6AE9"/>
    <w:rsid w:val="00DA70F8"/>
    <w:rsid w:val="00DA7696"/>
    <w:rsid w:val="00DA7DED"/>
    <w:rsid w:val="00DB07E1"/>
    <w:rsid w:val="00DB128C"/>
    <w:rsid w:val="00DB13FA"/>
    <w:rsid w:val="00DB14C6"/>
    <w:rsid w:val="00DB1CEF"/>
    <w:rsid w:val="00DB2705"/>
    <w:rsid w:val="00DB33B8"/>
    <w:rsid w:val="00DB3C50"/>
    <w:rsid w:val="00DB3D18"/>
    <w:rsid w:val="00DB4468"/>
    <w:rsid w:val="00DB44C9"/>
    <w:rsid w:val="00DB5078"/>
    <w:rsid w:val="00DB58A4"/>
    <w:rsid w:val="00DB7BB4"/>
    <w:rsid w:val="00DC0AC6"/>
    <w:rsid w:val="00DC1425"/>
    <w:rsid w:val="00DC4948"/>
    <w:rsid w:val="00DC4BD7"/>
    <w:rsid w:val="00DC4CA1"/>
    <w:rsid w:val="00DC4EE8"/>
    <w:rsid w:val="00DC6046"/>
    <w:rsid w:val="00DC6A8E"/>
    <w:rsid w:val="00DC71ED"/>
    <w:rsid w:val="00DC7231"/>
    <w:rsid w:val="00DC7627"/>
    <w:rsid w:val="00DD113D"/>
    <w:rsid w:val="00DD1645"/>
    <w:rsid w:val="00DD4749"/>
    <w:rsid w:val="00DD5CFD"/>
    <w:rsid w:val="00DE1C57"/>
    <w:rsid w:val="00DE1D5E"/>
    <w:rsid w:val="00DE299C"/>
    <w:rsid w:val="00DE3F2C"/>
    <w:rsid w:val="00DE5473"/>
    <w:rsid w:val="00DE562D"/>
    <w:rsid w:val="00DE5E75"/>
    <w:rsid w:val="00DE6B92"/>
    <w:rsid w:val="00DE7D81"/>
    <w:rsid w:val="00DF01C6"/>
    <w:rsid w:val="00DF0B4C"/>
    <w:rsid w:val="00DF226D"/>
    <w:rsid w:val="00DF4A30"/>
    <w:rsid w:val="00DF5687"/>
    <w:rsid w:val="00DF5930"/>
    <w:rsid w:val="00DF6ED2"/>
    <w:rsid w:val="00E0050C"/>
    <w:rsid w:val="00E00C1C"/>
    <w:rsid w:val="00E01974"/>
    <w:rsid w:val="00E01DE6"/>
    <w:rsid w:val="00E02835"/>
    <w:rsid w:val="00E04A0C"/>
    <w:rsid w:val="00E07948"/>
    <w:rsid w:val="00E105BA"/>
    <w:rsid w:val="00E10E69"/>
    <w:rsid w:val="00E15041"/>
    <w:rsid w:val="00E1666D"/>
    <w:rsid w:val="00E16AE0"/>
    <w:rsid w:val="00E1703C"/>
    <w:rsid w:val="00E1736F"/>
    <w:rsid w:val="00E21892"/>
    <w:rsid w:val="00E2233D"/>
    <w:rsid w:val="00E2265E"/>
    <w:rsid w:val="00E243EB"/>
    <w:rsid w:val="00E2450C"/>
    <w:rsid w:val="00E24878"/>
    <w:rsid w:val="00E24E2B"/>
    <w:rsid w:val="00E25478"/>
    <w:rsid w:val="00E2566D"/>
    <w:rsid w:val="00E258B9"/>
    <w:rsid w:val="00E25F4A"/>
    <w:rsid w:val="00E264A5"/>
    <w:rsid w:val="00E31308"/>
    <w:rsid w:val="00E323C5"/>
    <w:rsid w:val="00E32D9C"/>
    <w:rsid w:val="00E33952"/>
    <w:rsid w:val="00E340B5"/>
    <w:rsid w:val="00E34E26"/>
    <w:rsid w:val="00E34E43"/>
    <w:rsid w:val="00E4001E"/>
    <w:rsid w:val="00E4096B"/>
    <w:rsid w:val="00E40EA9"/>
    <w:rsid w:val="00E42C80"/>
    <w:rsid w:val="00E43CBB"/>
    <w:rsid w:val="00E440ED"/>
    <w:rsid w:val="00E46F3E"/>
    <w:rsid w:val="00E477C5"/>
    <w:rsid w:val="00E502F3"/>
    <w:rsid w:val="00E50548"/>
    <w:rsid w:val="00E5174F"/>
    <w:rsid w:val="00E5177F"/>
    <w:rsid w:val="00E51E76"/>
    <w:rsid w:val="00E5325E"/>
    <w:rsid w:val="00E53ACA"/>
    <w:rsid w:val="00E543F0"/>
    <w:rsid w:val="00E55C9E"/>
    <w:rsid w:val="00E56254"/>
    <w:rsid w:val="00E56325"/>
    <w:rsid w:val="00E56FD7"/>
    <w:rsid w:val="00E60196"/>
    <w:rsid w:val="00E6097C"/>
    <w:rsid w:val="00E60FB9"/>
    <w:rsid w:val="00E6199E"/>
    <w:rsid w:val="00E61D66"/>
    <w:rsid w:val="00E62407"/>
    <w:rsid w:val="00E626F2"/>
    <w:rsid w:val="00E6637B"/>
    <w:rsid w:val="00E66778"/>
    <w:rsid w:val="00E718AC"/>
    <w:rsid w:val="00E72D13"/>
    <w:rsid w:val="00E7460D"/>
    <w:rsid w:val="00E7468E"/>
    <w:rsid w:val="00E76B59"/>
    <w:rsid w:val="00E76C0A"/>
    <w:rsid w:val="00E7754D"/>
    <w:rsid w:val="00E77CC5"/>
    <w:rsid w:val="00E80CA2"/>
    <w:rsid w:val="00E80CF0"/>
    <w:rsid w:val="00E82261"/>
    <w:rsid w:val="00E840D5"/>
    <w:rsid w:val="00E841F7"/>
    <w:rsid w:val="00E84754"/>
    <w:rsid w:val="00E8546D"/>
    <w:rsid w:val="00E85A54"/>
    <w:rsid w:val="00E871E0"/>
    <w:rsid w:val="00E87F26"/>
    <w:rsid w:val="00E911C6"/>
    <w:rsid w:val="00E9196A"/>
    <w:rsid w:val="00E934B5"/>
    <w:rsid w:val="00E9409E"/>
    <w:rsid w:val="00E9428E"/>
    <w:rsid w:val="00E947BD"/>
    <w:rsid w:val="00E957DB"/>
    <w:rsid w:val="00E95C89"/>
    <w:rsid w:val="00E95D4B"/>
    <w:rsid w:val="00E961F9"/>
    <w:rsid w:val="00E96457"/>
    <w:rsid w:val="00E97763"/>
    <w:rsid w:val="00EA05C4"/>
    <w:rsid w:val="00EA0811"/>
    <w:rsid w:val="00EA1310"/>
    <w:rsid w:val="00EA2246"/>
    <w:rsid w:val="00EA2426"/>
    <w:rsid w:val="00EA2D82"/>
    <w:rsid w:val="00EA395F"/>
    <w:rsid w:val="00EA3B26"/>
    <w:rsid w:val="00EA4538"/>
    <w:rsid w:val="00EA50A1"/>
    <w:rsid w:val="00EA5A8F"/>
    <w:rsid w:val="00EA704E"/>
    <w:rsid w:val="00EB029E"/>
    <w:rsid w:val="00EB054E"/>
    <w:rsid w:val="00EB089D"/>
    <w:rsid w:val="00EB08C3"/>
    <w:rsid w:val="00EB1134"/>
    <w:rsid w:val="00EB14AF"/>
    <w:rsid w:val="00EB1DB9"/>
    <w:rsid w:val="00EB2A4E"/>
    <w:rsid w:val="00EB2E45"/>
    <w:rsid w:val="00EB39A4"/>
    <w:rsid w:val="00EB74CE"/>
    <w:rsid w:val="00EB7CF3"/>
    <w:rsid w:val="00EC11A3"/>
    <w:rsid w:val="00EC1F5A"/>
    <w:rsid w:val="00EC32E9"/>
    <w:rsid w:val="00EC3484"/>
    <w:rsid w:val="00EC408F"/>
    <w:rsid w:val="00EC4E81"/>
    <w:rsid w:val="00EC609D"/>
    <w:rsid w:val="00EC7122"/>
    <w:rsid w:val="00EC740F"/>
    <w:rsid w:val="00EC76B7"/>
    <w:rsid w:val="00EC791E"/>
    <w:rsid w:val="00ED0A17"/>
    <w:rsid w:val="00ED160B"/>
    <w:rsid w:val="00ED1A67"/>
    <w:rsid w:val="00ED3048"/>
    <w:rsid w:val="00ED3771"/>
    <w:rsid w:val="00ED4EDD"/>
    <w:rsid w:val="00ED51CF"/>
    <w:rsid w:val="00ED6A03"/>
    <w:rsid w:val="00ED7353"/>
    <w:rsid w:val="00EE401D"/>
    <w:rsid w:val="00EE4D4B"/>
    <w:rsid w:val="00EE51E6"/>
    <w:rsid w:val="00EE61B6"/>
    <w:rsid w:val="00EE6859"/>
    <w:rsid w:val="00EF0352"/>
    <w:rsid w:val="00EF0514"/>
    <w:rsid w:val="00EF1620"/>
    <w:rsid w:val="00EF1F93"/>
    <w:rsid w:val="00EF20BC"/>
    <w:rsid w:val="00EF26DB"/>
    <w:rsid w:val="00EF3695"/>
    <w:rsid w:val="00EF3DD3"/>
    <w:rsid w:val="00EF5C9D"/>
    <w:rsid w:val="00EF7459"/>
    <w:rsid w:val="00F0046D"/>
    <w:rsid w:val="00F008AD"/>
    <w:rsid w:val="00F01642"/>
    <w:rsid w:val="00F02A06"/>
    <w:rsid w:val="00F04180"/>
    <w:rsid w:val="00F04530"/>
    <w:rsid w:val="00F047F2"/>
    <w:rsid w:val="00F04BC6"/>
    <w:rsid w:val="00F06932"/>
    <w:rsid w:val="00F075CD"/>
    <w:rsid w:val="00F15145"/>
    <w:rsid w:val="00F1539D"/>
    <w:rsid w:val="00F16E36"/>
    <w:rsid w:val="00F17A8A"/>
    <w:rsid w:val="00F20EF0"/>
    <w:rsid w:val="00F23E65"/>
    <w:rsid w:val="00F23F74"/>
    <w:rsid w:val="00F240F4"/>
    <w:rsid w:val="00F2665A"/>
    <w:rsid w:val="00F26B52"/>
    <w:rsid w:val="00F27731"/>
    <w:rsid w:val="00F32F9E"/>
    <w:rsid w:val="00F33DFB"/>
    <w:rsid w:val="00F346A8"/>
    <w:rsid w:val="00F34A89"/>
    <w:rsid w:val="00F35665"/>
    <w:rsid w:val="00F36CBB"/>
    <w:rsid w:val="00F3735B"/>
    <w:rsid w:val="00F4105E"/>
    <w:rsid w:val="00F417D5"/>
    <w:rsid w:val="00F41821"/>
    <w:rsid w:val="00F4254D"/>
    <w:rsid w:val="00F426E9"/>
    <w:rsid w:val="00F427C8"/>
    <w:rsid w:val="00F428BE"/>
    <w:rsid w:val="00F42A06"/>
    <w:rsid w:val="00F43103"/>
    <w:rsid w:val="00F4395D"/>
    <w:rsid w:val="00F43A8D"/>
    <w:rsid w:val="00F43FDA"/>
    <w:rsid w:val="00F44411"/>
    <w:rsid w:val="00F45CC5"/>
    <w:rsid w:val="00F46E8C"/>
    <w:rsid w:val="00F47C02"/>
    <w:rsid w:val="00F517F8"/>
    <w:rsid w:val="00F51C17"/>
    <w:rsid w:val="00F51F31"/>
    <w:rsid w:val="00F5296A"/>
    <w:rsid w:val="00F52981"/>
    <w:rsid w:val="00F52DA7"/>
    <w:rsid w:val="00F54E3B"/>
    <w:rsid w:val="00F54EE6"/>
    <w:rsid w:val="00F55918"/>
    <w:rsid w:val="00F56808"/>
    <w:rsid w:val="00F56AFF"/>
    <w:rsid w:val="00F5720D"/>
    <w:rsid w:val="00F60B99"/>
    <w:rsid w:val="00F616DA"/>
    <w:rsid w:val="00F62B5B"/>
    <w:rsid w:val="00F638D5"/>
    <w:rsid w:val="00F63A7B"/>
    <w:rsid w:val="00F6458B"/>
    <w:rsid w:val="00F652E5"/>
    <w:rsid w:val="00F65387"/>
    <w:rsid w:val="00F65DD7"/>
    <w:rsid w:val="00F65F2B"/>
    <w:rsid w:val="00F66129"/>
    <w:rsid w:val="00F671A8"/>
    <w:rsid w:val="00F71078"/>
    <w:rsid w:val="00F740F2"/>
    <w:rsid w:val="00F75343"/>
    <w:rsid w:val="00F75FB4"/>
    <w:rsid w:val="00F76F95"/>
    <w:rsid w:val="00F77320"/>
    <w:rsid w:val="00F80E3F"/>
    <w:rsid w:val="00F8446E"/>
    <w:rsid w:val="00F84E49"/>
    <w:rsid w:val="00F90966"/>
    <w:rsid w:val="00F91451"/>
    <w:rsid w:val="00F918B1"/>
    <w:rsid w:val="00F944D8"/>
    <w:rsid w:val="00F9573D"/>
    <w:rsid w:val="00F95EC6"/>
    <w:rsid w:val="00F96DCF"/>
    <w:rsid w:val="00F97F1D"/>
    <w:rsid w:val="00FA0C1E"/>
    <w:rsid w:val="00FA102C"/>
    <w:rsid w:val="00FA1425"/>
    <w:rsid w:val="00FA160D"/>
    <w:rsid w:val="00FA30A5"/>
    <w:rsid w:val="00FA51F3"/>
    <w:rsid w:val="00FA596F"/>
    <w:rsid w:val="00FA610E"/>
    <w:rsid w:val="00FA66A2"/>
    <w:rsid w:val="00FB19F2"/>
    <w:rsid w:val="00FB2FDD"/>
    <w:rsid w:val="00FB4D83"/>
    <w:rsid w:val="00FB5297"/>
    <w:rsid w:val="00FB614E"/>
    <w:rsid w:val="00FB67A0"/>
    <w:rsid w:val="00FC19AE"/>
    <w:rsid w:val="00FC2189"/>
    <w:rsid w:val="00FC48CC"/>
    <w:rsid w:val="00FC586E"/>
    <w:rsid w:val="00FC5AEB"/>
    <w:rsid w:val="00FC5AFE"/>
    <w:rsid w:val="00FC5FB9"/>
    <w:rsid w:val="00FC6386"/>
    <w:rsid w:val="00FC64EF"/>
    <w:rsid w:val="00FC6682"/>
    <w:rsid w:val="00FC6EF9"/>
    <w:rsid w:val="00FC76D3"/>
    <w:rsid w:val="00FD19AF"/>
    <w:rsid w:val="00FD2501"/>
    <w:rsid w:val="00FD2862"/>
    <w:rsid w:val="00FD2A86"/>
    <w:rsid w:val="00FD4B8D"/>
    <w:rsid w:val="00FD5893"/>
    <w:rsid w:val="00FD58C8"/>
    <w:rsid w:val="00FD5F6C"/>
    <w:rsid w:val="00FD63C5"/>
    <w:rsid w:val="00FD704E"/>
    <w:rsid w:val="00FE1CA5"/>
    <w:rsid w:val="00FE2340"/>
    <w:rsid w:val="00FE392B"/>
    <w:rsid w:val="00FE3D9F"/>
    <w:rsid w:val="00FE49BF"/>
    <w:rsid w:val="00FE4C3E"/>
    <w:rsid w:val="00FE5BE5"/>
    <w:rsid w:val="00FE653F"/>
    <w:rsid w:val="00FE76EE"/>
    <w:rsid w:val="00FE7A93"/>
    <w:rsid w:val="00FE7F5D"/>
    <w:rsid w:val="00FE7FB7"/>
    <w:rsid w:val="00FF031F"/>
    <w:rsid w:val="00FF048F"/>
    <w:rsid w:val="00FF0872"/>
    <w:rsid w:val="00FF0CDE"/>
    <w:rsid w:val="00FF0EA8"/>
    <w:rsid w:val="00FF2664"/>
    <w:rsid w:val="00FF277D"/>
    <w:rsid w:val="00FF32ED"/>
    <w:rsid w:val="00FF3A32"/>
    <w:rsid w:val="00FF3D89"/>
    <w:rsid w:val="00FF3DDC"/>
    <w:rsid w:val="00FF4633"/>
    <w:rsid w:val="00FF4C93"/>
    <w:rsid w:val="00FF4E47"/>
    <w:rsid w:val="00FF53FE"/>
    <w:rsid w:val="00FF55E9"/>
    <w:rsid w:val="00FF5EB5"/>
    <w:rsid w:val="00FF6308"/>
    <w:rsid w:val="00FF6AA0"/>
    <w:rsid w:val="00FF6C8C"/>
    <w:rsid w:val="00FF73EC"/>
    <w:rsid w:val="00FF770D"/>
    <w:rsid w:val="00FF79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42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uiPriority="3" w:qFormat="1"/>
    <w:lsdException w:name="footer" w:uiPriority="4"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D57496"/>
    <w:pPr>
      <w:spacing w:after="120"/>
    </w:pPr>
    <w:rPr>
      <w:rFonts w:cstheme="minorBidi"/>
    </w:rPr>
  </w:style>
  <w:style w:type="paragraph" w:styleId="Heading1">
    <w:name w:val="heading 1"/>
    <w:aliases w:val="FSHeading 1,Chapter heading"/>
    <w:basedOn w:val="Normal"/>
    <w:next w:val="Normal"/>
    <w:link w:val="Heading1Char"/>
    <w:uiPriority w:val="2"/>
    <w:qFormat/>
    <w:rsid w:val="00814431"/>
    <w:pPr>
      <w:keepNext/>
      <w:numPr>
        <w:numId w:val="12"/>
      </w:numPr>
      <w:spacing w:after="240"/>
      <w:outlineLvl w:val="0"/>
    </w:pPr>
    <w:rPr>
      <w:rFonts w:ascii="Verdana" w:eastAsiaTheme="majorEastAsia" w:hAnsi="Verdan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4A6D71"/>
    <w:pPr>
      <w:keepNext/>
      <w:numPr>
        <w:ilvl w:val="1"/>
        <w:numId w:val="12"/>
      </w:numPr>
      <w:spacing w:before="240" w:after="240"/>
      <w:outlineLvl w:val="1"/>
    </w:pPr>
    <w:rPr>
      <w:rFonts w:ascii="Verdana" w:eastAsiaTheme="majorEastAsia" w:hAnsi="Verdana" w:cs="Arial"/>
      <w:b/>
      <w:bCs/>
      <w:sz w:val="28"/>
    </w:rPr>
  </w:style>
  <w:style w:type="paragraph" w:styleId="Heading3">
    <w:name w:val="heading 3"/>
    <w:aliases w:val="FSHeading 3,Subheading 1"/>
    <w:basedOn w:val="Normal"/>
    <w:next w:val="Normal"/>
    <w:link w:val="Heading3Char"/>
    <w:autoRedefine/>
    <w:uiPriority w:val="2"/>
    <w:unhideWhenUsed/>
    <w:qFormat/>
    <w:rsid w:val="00BB301C"/>
    <w:pPr>
      <w:keepNext/>
      <w:keepLines/>
      <w:numPr>
        <w:ilvl w:val="2"/>
        <w:numId w:val="12"/>
      </w:numPr>
      <w:spacing w:before="200" w:after="0"/>
      <w:outlineLvl w:val="2"/>
    </w:pPr>
    <w:rPr>
      <w:rFonts w:ascii="Verdana" w:eastAsiaTheme="majorEastAsia" w:hAnsi="Verdan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2165FF"/>
    <w:pPr>
      <w:keepNext/>
      <w:numPr>
        <w:ilvl w:val="3"/>
        <w:numId w:val="12"/>
      </w:numPr>
      <w:spacing w:before="240"/>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numPr>
        <w:ilvl w:val="4"/>
        <w:numId w:val="12"/>
      </w:numPr>
      <w:spacing w:before="240" w:after="240"/>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BB301C"/>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B301C"/>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B301C"/>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814431"/>
    <w:rPr>
      <w:rFonts w:ascii="Verdana" w:eastAsiaTheme="majorEastAsia" w:hAnsi="Verdana" w:cstheme="majorBidi"/>
      <w:b/>
      <w:bCs/>
      <w:sz w:val="36"/>
      <w:szCs w:val="28"/>
    </w:rPr>
  </w:style>
  <w:style w:type="character" w:customStyle="1" w:styleId="Heading2Char">
    <w:name w:val="Heading 2 Char"/>
    <w:aliases w:val="FSHeading 2 Char,Section heading Char"/>
    <w:basedOn w:val="DefaultParagraphFont"/>
    <w:link w:val="Heading2"/>
    <w:uiPriority w:val="2"/>
    <w:rsid w:val="004A6D71"/>
    <w:rPr>
      <w:rFonts w:ascii="Verdana" w:eastAsiaTheme="majorEastAsia" w:hAnsi="Verdana"/>
      <w:b/>
      <w:bCs/>
      <w:sz w:val="28"/>
    </w:rPr>
  </w:style>
  <w:style w:type="character" w:customStyle="1" w:styleId="Heading3Char">
    <w:name w:val="Heading 3 Char"/>
    <w:aliases w:val="FSHeading 3 Char,Subheading 1 Char"/>
    <w:basedOn w:val="DefaultParagraphFont"/>
    <w:link w:val="Heading3"/>
    <w:uiPriority w:val="2"/>
    <w:rsid w:val="00BB301C"/>
    <w:rPr>
      <w:rFonts w:ascii="Verdana" w:eastAsiaTheme="majorEastAsia" w:hAnsi="Verdana" w:cstheme="majorBidi"/>
      <w:b/>
      <w:bCs/>
      <w:szCs w:val="24"/>
      <w:lang w:eastAsia="en-AU"/>
    </w:rPr>
  </w:style>
  <w:style w:type="character" w:customStyle="1" w:styleId="Heading4Char">
    <w:name w:val="Heading 4 Char"/>
    <w:aliases w:val="FSHeading 4 Char,Subheading 2 Char"/>
    <w:basedOn w:val="DefaultParagraphFont"/>
    <w:link w:val="Heading4"/>
    <w:uiPriority w:val="2"/>
    <w:rsid w:val="002165FF"/>
    <w:rPr>
      <w:rFonts w:eastAsiaTheme="majorEastAsia" w:cstheme="majorBidi"/>
      <w:b/>
      <w:bCs/>
      <w:i/>
      <w:iCs/>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qFormat/>
    <w:rsid w:val="009D27C5"/>
    <w:pPr>
      <w:numPr>
        <w:numId w:val="1"/>
      </w:numPr>
      <w:contextualSpacing/>
    </w:pPr>
    <w:rPr>
      <w:rFonts w:eastAsia="Times New Roman" w:cs="Arial"/>
      <w:szCs w:val="24"/>
    </w:rPr>
  </w:style>
  <w:style w:type="character" w:customStyle="1" w:styleId="FSBullet1Char">
    <w:name w:val="FSBullet 1 Char"/>
    <w:basedOn w:val="DefaultParagraphFont"/>
    <w:link w:val="FSBullet1"/>
    <w:rsid w:val="009D27C5"/>
    <w:rPr>
      <w:rFonts w:eastAsia="Times New Roman"/>
      <w:szCs w:val="24"/>
    </w:rPr>
  </w:style>
  <w:style w:type="paragraph" w:customStyle="1" w:styleId="FSBullet2">
    <w:name w:val="FSBullet 2"/>
    <w:basedOn w:val="Normal"/>
    <w:qFormat/>
    <w:rsid w:val="00830393"/>
    <w:pPr>
      <w:numPr>
        <w:numId w:val="2"/>
      </w:numPr>
      <w:ind w:left="1134" w:hanging="567"/>
    </w:pPr>
  </w:style>
  <w:style w:type="paragraph" w:customStyle="1" w:styleId="FSBullet3">
    <w:name w:val="FSBullet 3"/>
    <w:basedOn w:val="Normal"/>
    <w:uiPriority w:val="6"/>
    <w:qFormat/>
    <w:rsid w:val="006B6900"/>
    <w:pPr>
      <w:keepNext/>
      <w:numPr>
        <w:numId w:val="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pPr>
    <w:rPr>
      <w:b/>
      <w:sz w:val="20"/>
      <w:szCs w:val="20"/>
    </w:rPr>
  </w:style>
  <w:style w:type="paragraph" w:customStyle="1" w:styleId="FSTableFigureHeading">
    <w:name w:val="FSTable/Figure Heading"/>
    <w:basedOn w:val="Normal"/>
    <w:uiPriority w:val="7"/>
    <w:qFormat/>
    <w:rsid w:val="00404702"/>
    <w:pPr>
      <w:spacing w:before="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link w:val="NoSpacingChar"/>
    <w:uiPriority w:val="1"/>
    <w:qFormat/>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character" w:customStyle="1" w:styleId="NoSpacingChar">
    <w:name w:val="No Spacing Char"/>
    <w:basedOn w:val="DefaultParagraphFont"/>
    <w:link w:val="NoSpacing"/>
    <w:uiPriority w:val="1"/>
    <w:rsid w:val="003E3006"/>
    <w:rPr>
      <w:rFonts w:cstheme="minorBidi"/>
      <w:lang w:val="en-GB"/>
    </w:rPr>
  </w:style>
  <w:style w:type="paragraph" w:styleId="BalloonText">
    <w:name w:val="Balloon Text"/>
    <w:basedOn w:val="Normal"/>
    <w:link w:val="BalloonTextChar"/>
    <w:uiPriority w:val="99"/>
    <w:semiHidden/>
    <w:unhideWhenUsed/>
    <w:rsid w:val="003E3006"/>
    <w:rPr>
      <w:rFonts w:ascii="Tahoma" w:hAnsi="Tahoma" w:cs="Tahoma"/>
      <w:sz w:val="16"/>
      <w:szCs w:val="16"/>
    </w:rPr>
  </w:style>
  <w:style w:type="character" w:customStyle="1" w:styleId="BalloonTextChar">
    <w:name w:val="Balloon Text Char"/>
    <w:basedOn w:val="DefaultParagraphFont"/>
    <w:link w:val="BalloonText"/>
    <w:uiPriority w:val="99"/>
    <w:semiHidden/>
    <w:rsid w:val="003E3006"/>
    <w:rPr>
      <w:rFonts w:ascii="Tahoma" w:hAnsi="Tahoma" w:cs="Tahoma"/>
      <w:sz w:val="16"/>
      <w:szCs w:val="16"/>
      <w:lang w:val="en-GB"/>
    </w:rPr>
  </w:style>
  <w:style w:type="paragraph" w:styleId="TOCHeading">
    <w:name w:val="TOC Heading"/>
    <w:basedOn w:val="Heading1"/>
    <w:next w:val="Normal"/>
    <w:uiPriority w:val="39"/>
    <w:semiHidden/>
    <w:unhideWhenUsed/>
    <w:qFormat/>
    <w:rsid w:val="003E3006"/>
    <w:pPr>
      <w:keepLines/>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qFormat/>
    <w:rsid w:val="00D00428"/>
    <w:pPr>
      <w:spacing w:after="100"/>
    </w:pPr>
  </w:style>
  <w:style w:type="paragraph" w:styleId="TOC2">
    <w:name w:val="toc 2"/>
    <w:basedOn w:val="Normal"/>
    <w:next w:val="Normal"/>
    <w:autoRedefine/>
    <w:uiPriority w:val="39"/>
    <w:unhideWhenUsed/>
    <w:qFormat/>
    <w:rsid w:val="00D00428"/>
    <w:pPr>
      <w:spacing w:after="100"/>
      <w:ind w:left="220"/>
    </w:pPr>
  </w:style>
  <w:style w:type="character" w:styleId="Hyperlink">
    <w:name w:val="Hyperlink"/>
    <w:basedOn w:val="DefaultParagraphFont"/>
    <w:uiPriority w:val="99"/>
    <w:unhideWhenUsed/>
    <w:rsid w:val="00D00428"/>
    <w:rPr>
      <w:color w:val="0000FF" w:themeColor="hyperlink"/>
      <w:u w:val="single"/>
    </w:rPr>
  </w:style>
  <w:style w:type="paragraph" w:styleId="TOC3">
    <w:name w:val="toc 3"/>
    <w:basedOn w:val="Normal"/>
    <w:next w:val="Normal"/>
    <w:autoRedefine/>
    <w:uiPriority w:val="39"/>
    <w:unhideWhenUsed/>
    <w:qFormat/>
    <w:rsid w:val="00CA5014"/>
    <w:pPr>
      <w:spacing w:after="100"/>
      <w:ind w:left="440"/>
    </w:pPr>
  </w:style>
  <w:style w:type="paragraph" w:customStyle="1" w:styleId="bullets">
    <w:name w:val="bullets"/>
    <w:basedOn w:val="Normal"/>
    <w:link w:val="bulletsChar"/>
    <w:qFormat/>
    <w:rsid w:val="00AE3560"/>
    <w:pPr>
      <w:keepLines/>
      <w:spacing w:after="0"/>
      <w:contextualSpacing/>
    </w:pPr>
    <w:rPr>
      <w:rFonts w:eastAsia="Times New Roman" w:cs="Times New Roman"/>
      <w:szCs w:val="21"/>
      <w:lang w:eastAsia="en-AU"/>
    </w:rPr>
  </w:style>
  <w:style w:type="character" w:customStyle="1" w:styleId="bulletsChar">
    <w:name w:val="bullets Char"/>
    <w:link w:val="bullets"/>
    <w:rsid w:val="00AE3560"/>
    <w:rPr>
      <w:rFonts w:eastAsia="Times New Roman" w:cs="Times New Roman"/>
      <w:szCs w:val="21"/>
      <w:lang w:eastAsia="en-AU"/>
    </w:rPr>
  </w:style>
  <w:style w:type="table" w:styleId="TableGrid">
    <w:name w:val="Table Grid"/>
    <w:basedOn w:val="TableNormal"/>
    <w:uiPriority w:val="59"/>
    <w:rsid w:val="007E3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212A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DarkList-Accent1">
    <w:name w:val="Dark List Accent 1"/>
    <w:basedOn w:val="TableNormal"/>
    <w:uiPriority w:val="70"/>
    <w:rsid w:val="00212AA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character" w:styleId="CommentReference">
    <w:name w:val="annotation reference"/>
    <w:basedOn w:val="DefaultParagraphFont"/>
    <w:uiPriority w:val="99"/>
    <w:semiHidden/>
    <w:unhideWhenUsed/>
    <w:rsid w:val="00E440ED"/>
    <w:rPr>
      <w:sz w:val="16"/>
      <w:szCs w:val="16"/>
    </w:rPr>
  </w:style>
  <w:style w:type="paragraph" w:styleId="CommentText">
    <w:name w:val="annotation text"/>
    <w:basedOn w:val="Normal"/>
    <w:link w:val="CommentTextChar"/>
    <w:uiPriority w:val="99"/>
    <w:semiHidden/>
    <w:unhideWhenUsed/>
    <w:rsid w:val="00E440ED"/>
    <w:pPr>
      <w:spacing w:before="120"/>
    </w:pPr>
    <w:rPr>
      <w:rFonts w:ascii="Verdana" w:hAnsi="Verdana"/>
      <w:sz w:val="20"/>
      <w:szCs w:val="20"/>
    </w:rPr>
  </w:style>
  <w:style w:type="character" w:customStyle="1" w:styleId="CommentTextChar">
    <w:name w:val="Comment Text Char"/>
    <w:basedOn w:val="DefaultParagraphFont"/>
    <w:link w:val="CommentText"/>
    <w:uiPriority w:val="99"/>
    <w:semiHidden/>
    <w:rsid w:val="00E440ED"/>
    <w:rPr>
      <w:rFonts w:ascii="Verdana" w:hAnsi="Verdana" w:cstheme="minorBidi"/>
      <w:sz w:val="20"/>
      <w:szCs w:val="20"/>
      <w:lang w:val="en-GB"/>
    </w:rPr>
  </w:style>
  <w:style w:type="paragraph" w:styleId="CommentSubject">
    <w:name w:val="annotation subject"/>
    <w:basedOn w:val="CommentText"/>
    <w:next w:val="CommentText"/>
    <w:link w:val="CommentSubjectChar"/>
    <w:uiPriority w:val="99"/>
    <w:semiHidden/>
    <w:unhideWhenUsed/>
    <w:rsid w:val="00CB2F15"/>
    <w:pPr>
      <w:spacing w:before="0"/>
    </w:pPr>
    <w:rPr>
      <w:rFonts w:ascii="Arial" w:hAnsi="Arial"/>
      <w:b/>
      <w:bCs/>
    </w:rPr>
  </w:style>
  <w:style w:type="character" w:customStyle="1" w:styleId="CommentSubjectChar">
    <w:name w:val="Comment Subject Char"/>
    <w:basedOn w:val="CommentTextChar"/>
    <w:link w:val="CommentSubject"/>
    <w:uiPriority w:val="99"/>
    <w:semiHidden/>
    <w:rsid w:val="00CB2F15"/>
    <w:rPr>
      <w:rFonts w:ascii="Verdana" w:hAnsi="Verdana" w:cstheme="minorBidi"/>
      <w:b/>
      <w:bCs/>
      <w:sz w:val="20"/>
      <w:szCs w:val="20"/>
      <w:lang w:val="en-GB"/>
    </w:rPr>
  </w:style>
  <w:style w:type="paragraph" w:styleId="Revision">
    <w:name w:val="Revision"/>
    <w:hidden/>
    <w:uiPriority w:val="99"/>
    <w:semiHidden/>
    <w:rsid w:val="00944103"/>
    <w:rPr>
      <w:rFonts w:cstheme="minorBidi"/>
    </w:rPr>
  </w:style>
  <w:style w:type="character" w:styleId="FootnoteReference">
    <w:name w:val="footnote reference"/>
    <w:basedOn w:val="DefaultParagraphFont"/>
    <w:uiPriority w:val="99"/>
    <w:semiHidden/>
    <w:unhideWhenUsed/>
    <w:rsid w:val="0053333F"/>
    <w:rPr>
      <w:vertAlign w:val="superscript"/>
    </w:rPr>
  </w:style>
  <w:style w:type="paragraph" w:styleId="EndnoteText">
    <w:name w:val="endnote text"/>
    <w:basedOn w:val="Normal"/>
    <w:link w:val="EndnoteTextChar"/>
    <w:uiPriority w:val="99"/>
    <w:semiHidden/>
    <w:unhideWhenUsed/>
    <w:rsid w:val="001658F8"/>
    <w:pPr>
      <w:spacing w:after="0"/>
    </w:pPr>
    <w:rPr>
      <w:sz w:val="20"/>
      <w:szCs w:val="20"/>
    </w:rPr>
  </w:style>
  <w:style w:type="character" w:customStyle="1" w:styleId="EndnoteTextChar">
    <w:name w:val="Endnote Text Char"/>
    <w:basedOn w:val="DefaultParagraphFont"/>
    <w:link w:val="EndnoteText"/>
    <w:uiPriority w:val="99"/>
    <w:semiHidden/>
    <w:rsid w:val="001658F8"/>
    <w:rPr>
      <w:rFonts w:cstheme="minorBidi"/>
      <w:sz w:val="20"/>
      <w:szCs w:val="20"/>
    </w:rPr>
  </w:style>
  <w:style w:type="character" w:styleId="EndnoteReference">
    <w:name w:val="endnote reference"/>
    <w:basedOn w:val="DefaultParagraphFont"/>
    <w:uiPriority w:val="99"/>
    <w:semiHidden/>
    <w:unhideWhenUsed/>
    <w:rsid w:val="001658F8"/>
    <w:rPr>
      <w:vertAlign w:val="superscript"/>
    </w:rPr>
  </w:style>
  <w:style w:type="character" w:styleId="HTMLCite">
    <w:name w:val="HTML Cite"/>
    <w:basedOn w:val="DefaultParagraphFont"/>
    <w:uiPriority w:val="99"/>
    <w:semiHidden/>
    <w:unhideWhenUsed/>
    <w:rsid w:val="00FD2501"/>
    <w:rPr>
      <w:i/>
      <w:iCs/>
    </w:rPr>
  </w:style>
  <w:style w:type="character" w:styleId="FollowedHyperlink">
    <w:name w:val="FollowedHyperlink"/>
    <w:basedOn w:val="DefaultParagraphFont"/>
    <w:uiPriority w:val="99"/>
    <w:semiHidden/>
    <w:unhideWhenUsed/>
    <w:rsid w:val="00FD2501"/>
    <w:rPr>
      <w:color w:val="800080" w:themeColor="followedHyperlink"/>
      <w:u w:val="single"/>
    </w:rPr>
  </w:style>
  <w:style w:type="character" w:styleId="PlaceholderText">
    <w:name w:val="Placeholder Text"/>
    <w:basedOn w:val="DefaultParagraphFont"/>
    <w:uiPriority w:val="99"/>
    <w:semiHidden/>
    <w:rsid w:val="00E24878"/>
    <w:rPr>
      <w:color w:val="808080"/>
    </w:rPr>
  </w:style>
  <w:style w:type="character" w:customStyle="1" w:styleId="Heading7Char">
    <w:name w:val="Heading 7 Char"/>
    <w:basedOn w:val="DefaultParagraphFont"/>
    <w:link w:val="Heading7"/>
    <w:uiPriority w:val="9"/>
    <w:semiHidden/>
    <w:rsid w:val="00BB301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B30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B301C"/>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uiPriority="3" w:qFormat="1"/>
    <w:lsdException w:name="footer" w:uiPriority="4"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D57496"/>
    <w:pPr>
      <w:spacing w:after="120"/>
    </w:pPr>
    <w:rPr>
      <w:rFonts w:cstheme="minorBidi"/>
    </w:rPr>
  </w:style>
  <w:style w:type="paragraph" w:styleId="Heading1">
    <w:name w:val="heading 1"/>
    <w:aliases w:val="FSHeading 1,Chapter heading"/>
    <w:basedOn w:val="Normal"/>
    <w:next w:val="Normal"/>
    <w:link w:val="Heading1Char"/>
    <w:uiPriority w:val="2"/>
    <w:qFormat/>
    <w:rsid w:val="00814431"/>
    <w:pPr>
      <w:keepNext/>
      <w:numPr>
        <w:numId w:val="12"/>
      </w:numPr>
      <w:spacing w:after="240"/>
      <w:outlineLvl w:val="0"/>
    </w:pPr>
    <w:rPr>
      <w:rFonts w:ascii="Verdana" w:eastAsiaTheme="majorEastAsia" w:hAnsi="Verdan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4A6D71"/>
    <w:pPr>
      <w:keepNext/>
      <w:numPr>
        <w:ilvl w:val="1"/>
        <w:numId w:val="12"/>
      </w:numPr>
      <w:spacing w:before="240" w:after="240"/>
      <w:outlineLvl w:val="1"/>
    </w:pPr>
    <w:rPr>
      <w:rFonts w:ascii="Verdana" w:eastAsiaTheme="majorEastAsia" w:hAnsi="Verdana" w:cs="Arial"/>
      <w:b/>
      <w:bCs/>
      <w:sz w:val="28"/>
    </w:rPr>
  </w:style>
  <w:style w:type="paragraph" w:styleId="Heading3">
    <w:name w:val="heading 3"/>
    <w:aliases w:val="FSHeading 3,Subheading 1"/>
    <w:basedOn w:val="Normal"/>
    <w:next w:val="Normal"/>
    <w:link w:val="Heading3Char"/>
    <w:autoRedefine/>
    <w:uiPriority w:val="2"/>
    <w:unhideWhenUsed/>
    <w:qFormat/>
    <w:rsid w:val="00BB301C"/>
    <w:pPr>
      <w:keepNext/>
      <w:keepLines/>
      <w:numPr>
        <w:ilvl w:val="2"/>
        <w:numId w:val="12"/>
      </w:numPr>
      <w:spacing w:before="200" w:after="0"/>
      <w:outlineLvl w:val="2"/>
    </w:pPr>
    <w:rPr>
      <w:rFonts w:ascii="Verdana" w:eastAsiaTheme="majorEastAsia" w:hAnsi="Verdan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2165FF"/>
    <w:pPr>
      <w:keepNext/>
      <w:numPr>
        <w:ilvl w:val="3"/>
        <w:numId w:val="12"/>
      </w:numPr>
      <w:spacing w:before="240"/>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numPr>
        <w:ilvl w:val="4"/>
        <w:numId w:val="12"/>
      </w:numPr>
      <w:spacing w:before="240" w:after="240"/>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BB301C"/>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B301C"/>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B301C"/>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814431"/>
    <w:rPr>
      <w:rFonts w:ascii="Verdana" w:eastAsiaTheme="majorEastAsia" w:hAnsi="Verdana" w:cstheme="majorBidi"/>
      <w:b/>
      <w:bCs/>
      <w:sz w:val="36"/>
      <w:szCs w:val="28"/>
    </w:rPr>
  </w:style>
  <w:style w:type="character" w:customStyle="1" w:styleId="Heading2Char">
    <w:name w:val="Heading 2 Char"/>
    <w:aliases w:val="FSHeading 2 Char,Section heading Char"/>
    <w:basedOn w:val="DefaultParagraphFont"/>
    <w:link w:val="Heading2"/>
    <w:uiPriority w:val="2"/>
    <w:rsid w:val="004A6D71"/>
    <w:rPr>
      <w:rFonts w:ascii="Verdana" w:eastAsiaTheme="majorEastAsia" w:hAnsi="Verdana"/>
      <w:b/>
      <w:bCs/>
      <w:sz w:val="28"/>
    </w:rPr>
  </w:style>
  <w:style w:type="character" w:customStyle="1" w:styleId="Heading3Char">
    <w:name w:val="Heading 3 Char"/>
    <w:aliases w:val="FSHeading 3 Char,Subheading 1 Char"/>
    <w:basedOn w:val="DefaultParagraphFont"/>
    <w:link w:val="Heading3"/>
    <w:uiPriority w:val="2"/>
    <w:rsid w:val="00BB301C"/>
    <w:rPr>
      <w:rFonts w:ascii="Verdana" w:eastAsiaTheme="majorEastAsia" w:hAnsi="Verdana" w:cstheme="majorBidi"/>
      <w:b/>
      <w:bCs/>
      <w:szCs w:val="24"/>
      <w:lang w:eastAsia="en-AU"/>
    </w:rPr>
  </w:style>
  <w:style w:type="character" w:customStyle="1" w:styleId="Heading4Char">
    <w:name w:val="Heading 4 Char"/>
    <w:aliases w:val="FSHeading 4 Char,Subheading 2 Char"/>
    <w:basedOn w:val="DefaultParagraphFont"/>
    <w:link w:val="Heading4"/>
    <w:uiPriority w:val="2"/>
    <w:rsid w:val="002165FF"/>
    <w:rPr>
      <w:rFonts w:eastAsiaTheme="majorEastAsia" w:cstheme="majorBidi"/>
      <w:b/>
      <w:bCs/>
      <w:i/>
      <w:iCs/>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qFormat/>
    <w:rsid w:val="009D27C5"/>
    <w:pPr>
      <w:numPr>
        <w:numId w:val="1"/>
      </w:numPr>
      <w:contextualSpacing/>
    </w:pPr>
    <w:rPr>
      <w:rFonts w:eastAsia="Times New Roman" w:cs="Arial"/>
      <w:szCs w:val="24"/>
    </w:rPr>
  </w:style>
  <w:style w:type="character" w:customStyle="1" w:styleId="FSBullet1Char">
    <w:name w:val="FSBullet 1 Char"/>
    <w:basedOn w:val="DefaultParagraphFont"/>
    <w:link w:val="FSBullet1"/>
    <w:rsid w:val="009D27C5"/>
    <w:rPr>
      <w:rFonts w:eastAsia="Times New Roman"/>
      <w:szCs w:val="24"/>
    </w:rPr>
  </w:style>
  <w:style w:type="paragraph" w:customStyle="1" w:styleId="FSBullet2">
    <w:name w:val="FSBullet 2"/>
    <w:basedOn w:val="Normal"/>
    <w:qFormat/>
    <w:rsid w:val="00830393"/>
    <w:pPr>
      <w:numPr>
        <w:numId w:val="2"/>
      </w:numPr>
      <w:ind w:left="1134" w:hanging="567"/>
    </w:pPr>
  </w:style>
  <w:style w:type="paragraph" w:customStyle="1" w:styleId="FSBullet3">
    <w:name w:val="FSBullet 3"/>
    <w:basedOn w:val="Normal"/>
    <w:uiPriority w:val="6"/>
    <w:qFormat/>
    <w:rsid w:val="006B6900"/>
    <w:pPr>
      <w:keepNext/>
      <w:numPr>
        <w:numId w:val="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pPr>
    <w:rPr>
      <w:b/>
      <w:sz w:val="20"/>
      <w:szCs w:val="20"/>
    </w:rPr>
  </w:style>
  <w:style w:type="paragraph" w:customStyle="1" w:styleId="FSTableFigureHeading">
    <w:name w:val="FSTable/Figure Heading"/>
    <w:basedOn w:val="Normal"/>
    <w:uiPriority w:val="7"/>
    <w:qFormat/>
    <w:rsid w:val="00404702"/>
    <w:pPr>
      <w:spacing w:before="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link w:val="NoSpacingChar"/>
    <w:uiPriority w:val="1"/>
    <w:qFormat/>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character" w:customStyle="1" w:styleId="NoSpacingChar">
    <w:name w:val="No Spacing Char"/>
    <w:basedOn w:val="DefaultParagraphFont"/>
    <w:link w:val="NoSpacing"/>
    <w:uiPriority w:val="1"/>
    <w:rsid w:val="003E3006"/>
    <w:rPr>
      <w:rFonts w:cstheme="minorBidi"/>
      <w:lang w:val="en-GB"/>
    </w:rPr>
  </w:style>
  <w:style w:type="paragraph" w:styleId="BalloonText">
    <w:name w:val="Balloon Text"/>
    <w:basedOn w:val="Normal"/>
    <w:link w:val="BalloonTextChar"/>
    <w:uiPriority w:val="99"/>
    <w:semiHidden/>
    <w:unhideWhenUsed/>
    <w:rsid w:val="003E3006"/>
    <w:rPr>
      <w:rFonts w:ascii="Tahoma" w:hAnsi="Tahoma" w:cs="Tahoma"/>
      <w:sz w:val="16"/>
      <w:szCs w:val="16"/>
    </w:rPr>
  </w:style>
  <w:style w:type="character" w:customStyle="1" w:styleId="BalloonTextChar">
    <w:name w:val="Balloon Text Char"/>
    <w:basedOn w:val="DefaultParagraphFont"/>
    <w:link w:val="BalloonText"/>
    <w:uiPriority w:val="99"/>
    <w:semiHidden/>
    <w:rsid w:val="003E3006"/>
    <w:rPr>
      <w:rFonts w:ascii="Tahoma" w:hAnsi="Tahoma" w:cs="Tahoma"/>
      <w:sz w:val="16"/>
      <w:szCs w:val="16"/>
      <w:lang w:val="en-GB"/>
    </w:rPr>
  </w:style>
  <w:style w:type="paragraph" w:styleId="TOCHeading">
    <w:name w:val="TOC Heading"/>
    <w:basedOn w:val="Heading1"/>
    <w:next w:val="Normal"/>
    <w:uiPriority w:val="39"/>
    <w:semiHidden/>
    <w:unhideWhenUsed/>
    <w:qFormat/>
    <w:rsid w:val="003E3006"/>
    <w:pPr>
      <w:keepLines/>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qFormat/>
    <w:rsid w:val="00D00428"/>
    <w:pPr>
      <w:spacing w:after="100"/>
    </w:pPr>
  </w:style>
  <w:style w:type="paragraph" w:styleId="TOC2">
    <w:name w:val="toc 2"/>
    <w:basedOn w:val="Normal"/>
    <w:next w:val="Normal"/>
    <w:autoRedefine/>
    <w:uiPriority w:val="39"/>
    <w:unhideWhenUsed/>
    <w:qFormat/>
    <w:rsid w:val="00D00428"/>
    <w:pPr>
      <w:spacing w:after="100"/>
      <w:ind w:left="220"/>
    </w:pPr>
  </w:style>
  <w:style w:type="character" w:styleId="Hyperlink">
    <w:name w:val="Hyperlink"/>
    <w:basedOn w:val="DefaultParagraphFont"/>
    <w:uiPriority w:val="99"/>
    <w:unhideWhenUsed/>
    <w:rsid w:val="00D00428"/>
    <w:rPr>
      <w:color w:val="0000FF" w:themeColor="hyperlink"/>
      <w:u w:val="single"/>
    </w:rPr>
  </w:style>
  <w:style w:type="paragraph" w:styleId="TOC3">
    <w:name w:val="toc 3"/>
    <w:basedOn w:val="Normal"/>
    <w:next w:val="Normal"/>
    <w:autoRedefine/>
    <w:uiPriority w:val="39"/>
    <w:unhideWhenUsed/>
    <w:qFormat/>
    <w:rsid w:val="00CA5014"/>
    <w:pPr>
      <w:spacing w:after="100"/>
      <w:ind w:left="440"/>
    </w:pPr>
  </w:style>
  <w:style w:type="paragraph" w:customStyle="1" w:styleId="bullets">
    <w:name w:val="bullets"/>
    <w:basedOn w:val="Normal"/>
    <w:link w:val="bulletsChar"/>
    <w:qFormat/>
    <w:rsid w:val="00AE3560"/>
    <w:pPr>
      <w:keepLines/>
      <w:spacing w:after="0"/>
      <w:contextualSpacing/>
    </w:pPr>
    <w:rPr>
      <w:rFonts w:eastAsia="Times New Roman" w:cs="Times New Roman"/>
      <w:szCs w:val="21"/>
      <w:lang w:eastAsia="en-AU"/>
    </w:rPr>
  </w:style>
  <w:style w:type="character" w:customStyle="1" w:styleId="bulletsChar">
    <w:name w:val="bullets Char"/>
    <w:link w:val="bullets"/>
    <w:rsid w:val="00AE3560"/>
    <w:rPr>
      <w:rFonts w:eastAsia="Times New Roman" w:cs="Times New Roman"/>
      <w:szCs w:val="21"/>
      <w:lang w:eastAsia="en-AU"/>
    </w:rPr>
  </w:style>
  <w:style w:type="table" w:styleId="TableGrid">
    <w:name w:val="Table Grid"/>
    <w:basedOn w:val="TableNormal"/>
    <w:uiPriority w:val="59"/>
    <w:rsid w:val="007E3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212A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DarkList-Accent1">
    <w:name w:val="Dark List Accent 1"/>
    <w:basedOn w:val="TableNormal"/>
    <w:uiPriority w:val="70"/>
    <w:rsid w:val="00212AA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character" w:styleId="CommentReference">
    <w:name w:val="annotation reference"/>
    <w:basedOn w:val="DefaultParagraphFont"/>
    <w:uiPriority w:val="99"/>
    <w:semiHidden/>
    <w:unhideWhenUsed/>
    <w:rsid w:val="00E440ED"/>
    <w:rPr>
      <w:sz w:val="16"/>
      <w:szCs w:val="16"/>
    </w:rPr>
  </w:style>
  <w:style w:type="paragraph" w:styleId="CommentText">
    <w:name w:val="annotation text"/>
    <w:basedOn w:val="Normal"/>
    <w:link w:val="CommentTextChar"/>
    <w:uiPriority w:val="99"/>
    <w:semiHidden/>
    <w:unhideWhenUsed/>
    <w:rsid w:val="00E440ED"/>
    <w:pPr>
      <w:spacing w:before="120"/>
    </w:pPr>
    <w:rPr>
      <w:rFonts w:ascii="Verdana" w:hAnsi="Verdana"/>
      <w:sz w:val="20"/>
      <w:szCs w:val="20"/>
    </w:rPr>
  </w:style>
  <w:style w:type="character" w:customStyle="1" w:styleId="CommentTextChar">
    <w:name w:val="Comment Text Char"/>
    <w:basedOn w:val="DefaultParagraphFont"/>
    <w:link w:val="CommentText"/>
    <w:uiPriority w:val="99"/>
    <w:semiHidden/>
    <w:rsid w:val="00E440ED"/>
    <w:rPr>
      <w:rFonts w:ascii="Verdana" w:hAnsi="Verdana" w:cstheme="minorBidi"/>
      <w:sz w:val="20"/>
      <w:szCs w:val="20"/>
      <w:lang w:val="en-GB"/>
    </w:rPr>
  </w:style>
  <w:style w:type="paragraph" w:styleId="CommentSubject">
    <w:name w:val="annotation subject"/>
    <w:basedOn w:val="CommentText"/>
    <w:next w:val="CommentText"/>
    <w:link w:val="CommentSubjectChar"/>
    <w:uiPriority w:val="99"/>
    <w:semiHidden/>
    <w:unhideWhenUsed/>
    <w:rsid w:val="00CB2F15"/>
    <w:pPr>
      <w:spacing w:before="0"/>
    </w:pPr>
    <w:rPr>
      <w:rFonts w:ascii="Arial" w:hAnsi="Arial"/>
      <w:b/>
      <w:bCs/>
    </w:rPr>
  </w:style>
  <w:style w:type="character" w:customStyle="1" w:styleId="CommentSubjectChar">
    <w:name w:val="Comment Subject Char"/>
    <w:basedOn w:val="CommentTextChar"/>
    <w:link w:val="CommentSubject"/>
    <w:uiPriority w:val="99"/>
    <w:semiHidden/>
    <w:rsid w:val="00CB2F15"/>
    <w:rPr>
      <w:rFonts w:ascii="Verdana" w:hAnsi="Verdana" w:cstheme="minorBidi"/>
      <w:b/>
      <w:bCs/>
      <w:sz w:val="20"/>
      <w:szCs w:val="20"/>
      <w:lang w:val="en-GB"/>
    </w:rPr>
  </w:style>
  <w:style w:type="paragraph" w:styleId="Revision">
    <w:name w:val="Revision"/>
    <w:hidden/>
    <w:uiPriority w:val="99"/>
    <w:semiHidden/>
    <w:rsid w:val="00944103"/>
    <w:rPr>
      <w:rFonts w:cstheme="minorBidi"/>
    </w:rPr>
  </w:style>
  <w:style w:type="character" w:styleId="FootnoteReference">
    <w:name w:val="footnote reference"/>
    <w:basedOn w:val="DefaultParagraphFont"/>
    <w:uiPriority w:val="99"/>
    <w:semiHidden/>
    <w:unhideWhenUsed/>
    <w:rsid w:val="0053333F"/>
    <w:rPr>
      <w:vertAlign w:val="superscript"/>
    </w:rPr>
  </w:style>
  <w:style w:type="paragraph" w:styleId="EndnoteText">
    <w:name w:val="endnote text"/>
    <w:basedOn w:val="Normal"/>
    <w:link w:val="EndnoteTextChar"/>
    <w:uiPriority w:val="99"/>
    <w:semiHidden/>
    <w:unhideWhenUsed/>
    <w:rsid w:val="001658F8"/>
    <w:pPr>
      <w:spacing w:after="0"/>
    </w:pPr>
    <w:rPr>
      <w:sz w:val="20"/>
      <w:szCs w:val="20"/>
    </w:rPr>
  </w:style>
  <w:style w:type="character" w:customStyle="1" w:styleId="EndnoteTextChar">
    <w:name w:val="Endnote Text Char"/>
    <w:basedOn w:val="DefaultParagraphFont"/>
    <w:link w:val="EndnoteText"/>
    <w:uiPriority w:val="99"/>
    <w:semiHidden/>
    <w:rsid w:val="001658F8"/>
    <w:rPr>
      <w:rFonts w:cstheme="minorBidi"/>
      <w:sz w:val="20"/>
      <w:szCs w:val="20"/>
    </w:rPr>
  </w:style>
  <w:style w:type="character" w:styleId="EndnoteReference">
    <w:name w:val="endnote reference"/>
    <w:basedOn w:val="DefaultParagraphFont"/>
    <w:uiPriority w:val="99"/>
    <w:semiHidden/>
    <w:unhideWhenUsed/>
    <w:rsid w:val="001658F8"/>
    <w:rPr>
      <w:vertAlign w:val="superscript"/>
    </w:rPr>
  </w:style>
  <w:style w:type="character" w:styleId="HTMLCite">
    <w:name w:val="HTML Cite"/>
    <w:basedOn w:val="DefaultParagraphFont"/>
    <w:uiPriority w:val="99"/>
    <w:semiHidden/>
    <w:unhideWhenUsed/>
    <w:rsid w:val="00FD2501"/>
    <w:rPr>
      <w:i/>
      <w:iCs/>
    </w:rPr>
  </w:style>
  <w:style w:type="character" w:styleId="FollowedHyperlink">
    <w:name w:val="FollowedHyperlink"/>
    <w:basedOn w:val="DefaultParagraphFont"/>
    <w:uiPriority w:val="99"/>
    <w:semiHidden/>
    <w:unhideWhenUsed/>
    <w:rsid w:val="00FD2501"/>
    <w:rPr>
      <w:color w:val="800080" w:themeColor="followedHyperlink"/>
      <w:u w:val="single"/>
    </w:rPr>
  </w:style>
  <w:style w:type="character" w:styleId="PlaceholderText">
    <w:name w:val="Placeholder Text"/>
    <w:basedOn w:val="DefaultParagraphFont"/>
    <w:uiPriority w:val="99"/>
    <w:semiHidden/>
    <w:rsid w:val="00E24878"/>
    <w:rPr>
      <w:color w:val="808080"/>
    </w:rPr>
  </w:style>
  <w:style w:type="character" w:customStyle="1" w:styleId="Heading7Char">
    <w:name w:val="Heading 7 Char"/>
    <w:basedOn w:val="DefaultParagraphFont"/>
    <w:link w:val="Heading7"/>
    <w:uiPriority w:val="9"/>
    <w:semiHidden/>
    <w:rsid w:val="00BB301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B30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B301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9115">
      <w:bodyDiv w:val="1"/>
      <w:marLeft w:val="0"/>
      <w:marRight w:val="0"/>
      <w:marTop w:val="0"/>
      <w:marBottom w:val="0"/>
      <w:divBdr>
        <w:top w:val="none" w:sz="0" w:space="0" w:color="auto"/>
        <w:left w:val="none" w:sz="0" w:space="0" w:color="auto"/>
        <w:bottom w:val="none" w:sz="0" w:space="0" w:color="auto"/>
        <w:right w:val="none" w:sz="0" w:space="0" w:color="auto"/>
      </w:divBdr>
      <w:divsChild>
        <w:div w:id="2049911564">
          <w:marLeft w:val="0"/>
          <w:marRight w:val="0"/>
          <w:marTop w:val="0"/>
          <w:marBottom w:val="0"/>
          <w:divBdr>
            <w:top w:val="none" w:sz="0" w:space="0" w:color="auto"/>
            <w:left w:val="none" w:sz="0" w:space="0" w:color="auto"/>
            <w:bottom w:val="none" w:sz="0" w:space="0" w:color="auto"/>
            <w:right w:val="none" w:sz="0" w:space="0" w:color="auto"/>
          </w:divBdr>
          <w:divsChild>
            <w:div w:id="1254364685">
              <w:marLeft w:val="0"/>
              <w:marRight w:val="0"/>
              <w:marTop w:val="0"/>
              <w:marBottom w:val="0"/>
              <w:divBdr>
                <w:top w:val="none" w:sz="0" w:space="0" w:color="auto"/>
                <w:left w:val="none" w:sz="0" w:space="0" w:color="auto"/>
                <w:bottom w:val="none" w:sz="0" w:space="0" w:color="auto"/>
                <w:right w:val="none" w:sz="0" w:space="0" w:color="auto"/>
              </w:divBdr>
              <w:divsChild>
                <w:div w:id="2036493995">
                  <w:marLeft w:val="0"/>
                  <w:marRight w:val="0"/>
                  <w:marTop w:val="0"/>
                  <w:marBottom w:val="0"/>
                  <w:divBdr>
                    <w:top w:val="none" w:sz="0" w:space="0" w:color="auto"/>
                    <w:left w:val="none" w:sz="0" w:space="0" w:color="auto"/>
                    <w:bottom w:val="none" w:sz="0" w:space="0" w:color="auto"/>
                    <w:right w:val="none" w:sz="0" w:space="0" w:color="auto"/>
                  </w:divBdr>
                  <w:divsChild>
                    <w:div w:id="1886208685">
                      <w:marLeft w:val="0"/>
                      <w:marRight w:val="0"/>
                      <w:marTop w:val="45"/>
                      <w:marBottom w:val="0"/>
                      <w:divBdr>
                        <w:top w:val="none" w:sz="0" w:space="0" w:color="auto"/>
                        <w:left w:val="none" w:sz="0" w:space="0" w:color="auto"/>
                        <w:bottom w:val="none" w:sz="0" w:space="0" w:color="auto"/>
                        <w:right w:val="none" w:sz="0" w:space="0" w:color="auto"/>
                      </w:divBdr>
                      <w:divsChild>
                        <w:div w:id="1359308029">
                          <w:marLeft w:val="0"/>
                          <w:marRight w:val="0"/>
                          <w:marTop w:val="0"/>
                          <w:marBottom w:val="0"/>
                          <w:divBdr>
                            <w:top w:val="none" w:sz="0" w:space="0" w:color="auto"/>
                            <w:left w:val="none" w:sz="0" w:space="0" w:color="auto"/>
                            <w:bottom w:val="none" w:sz="0" w:space="0" w:color="auto"/>
                            <w:right w:val="none" w:sz="0" w:space="0" w:color="auto"/>
                          </w:divBdr>
                          <w:divsChild>
                            <w:div w:id="2005935205">
                              <w:marLeft w:val="2070"/>
                              <w:marRight w:val="3810"/>
                              <w:marTop w:val="0"/>
                              <w:marBottom w:val="0"/>
                              <w:divBdr>
                                <w:top w:val="none" w:sz="0" w:space="0" w:color="auto"/>
                                <w:left w:val="none" w:sz="0" w:space="0" w:color="auto"/>
                                <w:bottom w:val="none" w:sz="0" w:space="0" w:color="auto"/>
                                <w:right w:val="none" w:sz="0" w:space="0" w:color="auto"/>
                              </w:divBdr>
                              <w:divsChild>
                                <w:div w:id="747919916">
                                  <w:marLeft w:val="0"/>
                                  <w:marRight w:val="0"/>
                                  <w:marTop w:val="0"/>
                                  <w:marBottom w:val="0"/>
                                  <w:divBdr>
                                    <w:top w:val="none" w:sz="0" w:space="0" w:color="auto"/>
                                    <w:left w:val="none" w:sz="0" w:space="0" w:color="auto"/>
                                    <w:bottom w:val="none" w:sz="0" w:space="0" w:color="auto"/>
                                    <w:right w:val="none" w:sz="0" w:space="0" w:color="auto"/>
                                  </w:divBdr>
                                  <w:divsChild>
                                    <w:div w:id="1032076337">
                                      <w:marLeft w:val="0"/>
                                      <w:marRight w:val="0"/>
                                      <w:marTop w:val="0"/>
                                      <w:marBottom w:val="0"/>
                                      <w:divBdr>
                                        <w:top w:val="none" w:sz="0" w:space="0" w:color="auto"/>
                                        <w:left w:val="none" w:sz="0" w:space="0" w:color="auto"/>
                                        <w:bottom w:val="none" w:sz="0" w:space="0" w:color="auto"/>
                                        <w:right w:val="none" w:sz="0" w:space="0" w:color="auto"/>
                                      </w:divBdr>
                                      <w:divsChild>
                                        <w:div w:id="204830233">
                                          <w:marLeft w:val="0"/>
                                          <w:marRight w:val="0"/>
                                          <w:marTop w:val="0"/>
                                          <w:marBottom w:val="0"/>
                                          <w:divBdr>
                                            <w:top w:val="none" w:sz="0" w:space="0" w:color="auto"/>
                                            <w:left w:val="none" w:sz="0" w:space="0" w:color="auto"/>
                                            <w:bottom w:val="none" w:sz="0" w:space="0" w:color="auto"/>
                                            <w:right w:val="none" w:sz="0" w:space="0" w:color="auto"/>
                                          </w:divBdr>
                                          <w:divsChild>
                                            <w:div w:id="161966705">
                                              <w:marLeft w:val="0"/>
                                              <w:marRight w:val="0"/>
                                              <w:marTop w:val="0"/>
                                              <w:marBottom w:val="0"/>
                                              <w:divBdr>
                                                <w:top w:val="none" w:sz="0" w:space="0" w:color="auto"/>
                                                <w:left w:val="none" w:sz="0" w:space="0" w:color="auto"/>
                                                <w:bottom w:val="none" w:sz="0" w:space="0" w:color="auto"/>
                                                <w:right w:val="none" w:sz="0" w:space="0" w:color="auto"/>
                                              </w:divBdr>
                                              <w:divsChild>
                                                <w:div w:id="942490272">
                                                  <w:marLeft w:val="0"/>
                                                  <w:marRight w:val="0"/>
                                                  <w:marTop w:val="0"/>
                                                  <w:marBottom w:val="0"/>
                                                  <w:divBdr>
                                                    <w:top w:val="none" w:sz="0" w:space="0" w:color="auto"/>
                                                    <w:left w:val="none" w:sz="0" w:space="0" w:color="auto"/>
                                                    <w:bottom w:val="none" w:sz="0" w:space="0" w:color="auto"/>
                                                    <w:right w:val="none" w:sz="0" w:space="0" w:color="auto"/>
                                                  </w:divBdr>
                                                  <w:divsChild>
                                                    <w:div w:id="420032590">
                                                      <w:marLeft w:val="0"/>
                                                      <w:marRight w:val="0"/>
                                                      <w:marTop w:val="0"/>
                                                      <w:marBottom w:val="0"/>
                                                      <w:divBdr>
                                                        <w:top w:val="none" w:sz="0" w:space="0" w:color="auto"/>
                                                        <w:left w:val="none" w:sz="0" w:space="0" w:color="auto"/>
                                                        <w:bottom w:val="none" w:sz="0" w:space="0" w:color="auto"/>
                                                        <w:right w:val="none" w:sz="0" w:space="0" w:color="auto"/>
                                                      </w:divBdr>
                                                      <w:divsChild>
                                                        <w:div w:id="14043392">
                                                          <w:marLeft w:val="0"/>
                                                          <w:marRight w:val="0"/>
                                                          <w:marTop w:val="0"/>
                                                          <w:marBottom w:val="345"/>
                                                          <w:divBdr>
                                                            <w:top w:val="none" w:sz="0" w:space="0" w:color="auto"/>
                                                            <w:left w:val="none" w:sz="0" w:space="0" w:color="auto"/>
                                                            <w:bottom w:val="none" w:sz="0" w:space="0" w:color="auto"/>
                                                            <w:right w:val="none" w:sz="0" w:space="0" w:color="auto"/>
                                                          </w:divBdr>
                                                          <w:divsChild>
                                                            <w:div w:id="596331792">
                                                              <w:marLeft w:val="0"/>
                                                              <w:marRight w:val="0"/>
                                                              <w:marTop w:val="0"/>
                                                              <w:marBottom w:val="0"/>
                                                              <w:divBdr>
                                                                <w:top w:val="none" w:sz="0" w:space="0" w:color="auto"/>
                                                                <w:left w:val="none" w:sz="0" w:space="0" w:color="auto"/>
                                                                <w:bottom w:val="none" w:sz="0" w:space="0" w:color="auto"/>
                                                                <w:right w:val="none" w:sz="0" w:space="0" w:color="auto"/>
                                                              </w:divBdr>
                                                              <w:divsChild>
                                                                <w:div w:id="1072312581">
                                                                  <w:marLeft w:val="0"/>
                                                                  <w:marRight w:val="0"/>
                                                                  <w:marTop w:val="0"/>
                                                                  <w:marBottom w:val="0"/>
                                                                  <w:divBdr>
                                                                    <w:top w:val="none" w:sz="0" w:space="0" w:color="auto"/>
                                                                    <w:left w:val="none" w:sz="0" w:space="0" w:color="auto"/>
                                                                    <w:bottom w:val="none" w:sz="0" w:space="0" w:color="auto"/>
                                                                    <w:right w:val="none" w:sz="0" w:space="0" w:color="auto"/>
                                                                  </w:divBdr>
                                                                  <w:divsChild>
                                                                    <w:div w:id="1029835521">
                                                                      <w:marLeft w:val="0"/>
                                                                      <w:marRight w:val="0"/>
                                                                      <w:marTop w:val="0"/>
                                                                      <w:marBottom w:val="0"/>
                                                                      <w:divBdr>
                                                                        <w:top w:val="none" w:sz="0" w:space="0" w:color="auto"/>
                                                                        <w:left w:val="none" w:sz="0" w:space="0" w:color="auto"/>
                                                                        <w:bottom w:val="none" w:sz="0" w:space="0" w:color="auto"/>
                                                                        <w:right w:val="none" w:sz="0" w:space="0" w:color="auto"/>
                                                                      </w:divBdr>
                                                                      <w:divsChild>
                                                                        <w:div w:id="2052879113">
                                                                          <w:marLeft w:val="0"/>
                                                                          <w:marRight w:val="0"/>
                                                                          <w:marTop w:val="0"/>
                                                                          <w:marBottom w:val="0"/>
                                                                          <w:divBdr>
                                                                            <w:top w:val="none" w:sz="0" w:space="0" w:color="auto"/>
                                                                            <w:left w:val="none" w:sz="0" w:space="0" w:color="auto"/>
                                                                            <w:bottom w:val="none" w:sz="0" w:space="0" w:color="auto"/>
                                                                            <w:right w:val="none" w:sz="0" w:space="0" w:color="auto"/>
                                                                          </w:divBdr>
                                                                          <w:divsChild>
                                                                            <w:div w:id="1158152545">
                                                                              <w:marLeft w:val="0"/>
                                                                              <w:marRight w:val="0"/>
                                                                              <w:marTop w:val="0"/>
                                                                              <w:marBottom w:val="0"/>
                                                                              <w:divBdr>
                                                                                <w:top w:val="none" w:sz="0" w:space="0" w:color="auto"/>
                                                                                <w:left w:val="none" w:sz="0" w:space="0" w:color="auto"/>
                                                                                <w:bottom w:val="none" w:sz="0" w:space="0" w:color="auto"/>
                                                                                <w:right w:val="none" w:sz="0" w:space="0" w:color="auto"/>
                                                                              </w:divBdr>
                                                                              <w:divsChild>
                                                                                <w:div w:id="12368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8699734">
      <w:bodyDiv w:val="1"/>
      <w:marLeft w:val="0"/>
      <w:marRight w:val="0"/>
      <w:marTop w:val="0"/>
      <w:marBottom w:val="0"/>
      <w:divBdr>
        <w:top w:val="none" w:sz="0" w:space="0" w:color="auto"/>
        <w:left w:val="none" w:sz="0" w:space="0" w:color="auto"/>
        <w:bottom w:val="none" w:sz="0" w:space="0" w:color="auto"/>
        <w:right w:val="none" w:sz="0" w:space="0" w:color="auto"/>
      </w:divBdr>
    </w:div>
    <w:div w:id="617102390">
      <w:bodyDiv w:val="1"/>
      <w:marLeft w:val="0"/>
      <w:marRight w:val="0"/>
      <w:marTop w:val="0"/>
      <w:marBottom w:val="0"/>
      <w:divBdr>
        <w:top w:val="none" w:sz="0" w:space="0" w:color="auto"/>
        <w:left w:val="none" w:sz="0" w:space="0" w:color="auto"/>
        <w:bottom w:val="none" w:sz="0" w:space="0" w:color="auto"/>
        <w:right w:val="none" w:sz="0" w:space="0" w:color="auto"/>
      </w:divBdr>
    </w:div>
    <w:div w:id="1098794415">
      <w:bodyDiv w:val="1"/>
      <w:marLeft w:val="0"/>
      <w:marRight w:val="0"/>
      <w:marTop w:val="0"/>
      <w:marBottom w:val="0"/>
      <w:divBdr>
        <w:top w:val="none" w:sz="0" w:space="0" w:color="auto"/>
        <w:left w:val="none" w:sz="0" w:space="0" w:color="auto"/>
        <w:bottom w:val="none" w:sz="0" w:space="0" w:color="auto"/>
        <w:right w:val="none" w:sz="0" w:space="0" w:color="auto"/>
      </w:divBdr>
      <w:divsChild>
        <w:div w:id="520777948">
          <w:marLeft w:val="547"/>
          <w:marRight w:val="0"/>
          <w:marTop w:val="0"/>
          <w:marBottom w:val="0"/>
          <w:divBdr>
            <w:top w:val="none" w:sz="0" w:space="0" w:color="auto"/>
            <w:left w:val="none" w:sz="0" w:space="0" w:color="auto"/>
            <w:bottom w:val="none" w:sz="0" w:space="0" w:color="auto"/>
            <w:right w:val="none" w:sz="0" w:space="0" w:color="auto"/>
          </w:divBdr>
        </w:div>
      </w:divsChild>
    </w:div>
    <w:div w:id="1536579143">
      <w:bodyDiv w:val="1"/>
      <w:marLeft w:val="0"/>
      <w:marRight w:val="0"/>
      <w:marTop w:val="0"/>
      <w:marBottom w:val="0"/>
      <w:divBdr>
        <w:top w:val="none" w:sz="0" w:space="0" w:color="auto"/>
        <w:left w:val="none" w:sz="0" w:space="0" w:color="auto"/>
        <w:bottom w:val="none" w:sz="0" w:space="0" w:color="auto"/>
        <w:right w:val="none" w:sz="0" w:space="0" w:color="auto"/>
      </w:divBdr>
    </w:div>
    <w:div w:id="1723482526">
      <w:bodyDiv w:val="1"/>
      <w:marLeft w:val="0"/>
      <w:marRight w:val="0"/>
      <w:marTop w:val="0"/>
      <w:marBottom w:val="0"/>
      <w:divBdr>
        <w:top w:val="none" w:sz="0" w:space="0" w:color="auto"/>
        <w:left w:val="none" w:sz="0" w:space="0" w:color="auto"/>
        <w:bottom w:val="none" w:sz="0" w:space="0" w:color="auto"/>
        <w:right w:val="none" w:sz="0" w:space="0" w:color="auto"/>
      </w:divBdr>
    </w:div>
    <w:div w:id="1772972549">
      <w:bodyDiv w:val="1"/>
      <w:marLeft w:val="0"/>
      <w:marRight w:val="0"/>
      <w:marTop w:val="0"/>
      <w:marBottom w:val="0"/>
      <w:divBdr>
        <w:top w:val="none" w:sz="0" w:space="0" w:color="auto"/>
        <w:left w:val="none" w:sz="0" w:space="0" w:color="auto"/>
        <w:bottom w:val="none" w:sz="0" w:space="0" w:color="auto"/>
        <w:right w:val="none" w:sz="0" w:space="0" w:color="auto"/>
      </w:divBdr>
    </w:div>
    <w:div w:id="181236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pn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image" Target="media/image9.png"/><Relationship Id="rId36" Type="http://schemas.microsoft.com/office/2011/relationships/people" Target="people.xml"/><Relationship Id="rId15" Type="http://schemas.openxmlformats.org/officeDocument/2006/relationships/endnotes" Target="endnotes.xm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styles" Target="styles.xml"/><Relationship Id="rId19" Type="http://schemas.openxmlformats.org/officeDocument/2006/relationships/image" Target="media/image4.png"/><Relationship Id="rId31" Type="http://schemas.openxmlformats.org/officeDocument/2006/relationships/theme" Target="theme/theme1.xml"/><Relationship Id="rId35" Type="http://schemas.microsoft.com/office/2011/relationships/commentsExtended" Target="commentsExtended.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au/Details/C2016C00147" TargetMode="External"/><Relationship Id="rId2" Type="http://schemas.openxmlformats.org/officeDocument/2006/relationships/hyperlink" Target="https://www.dpmc.gov.au/resource-centre/regulation/coag-ris-preliminary-assessment-form" TargetMode="External"/><Relationship Id="rId1" Type="http://schemas.openxmlformats.org/officeDocument/2006/relationships/hyperlink" Target="https://www.coag.gov.au/node/175" TargetMode="External"/><Relationship Id="rId4" Type="http://schemas.openxmlformats.org/officeDocument/2006/relationships/hyperlink" Target="https://www.dpmc.gov.au/resource-centre/regulation/cost-benefit-analysis-guidance-n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AA24B29DC7595044A69C84D0E99A2E2D" ma:contentTypeVersion="3" ma:contentTypeDescription="Create a new document." ma:contentTypeScope="" ma:versionID="254a78341ea5ade36faf40b1a45c08c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overPageProperties xmlns="http://schemas.microsoft.com/office/2006/coverPageProps">
  <PublishDate>2015-11-01T00:00:00</PublishDate>
  <Abstract/>
  <CompanyAddress/>
  <CompanyPhone/>
  <CompanyFax/>
  <CompanyEmail/>
</CoverPage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E63C0-12D6-4EB2-B4B5-024D5EBB9490}"/>
</file>

<file path=customXml/itemProps2.xml><?xml version="1.0" encoding="utf-8"?>
<ds:datastoreItem xmlns:ds="http://schemas.openxmlformats.org/officeDocument/2006/customXml" ds:itemID="{F34CEDBD-CDB8-4ABA-9664-39E12639E232}"/>
</file>

<file path=customXml/itemProps3.xml><?xml version="1.0" encoding="utf-8"?>
<ds:datastoreItem xmlns:ds="http://schemas.openxmlformats.org/officeDocument/2006/customXml" ds:itemID="{BE64F563-C4FF-45E7-A665-956E28841388}"/>
</file>

<file path=customXml/itemProps4.xml><?xml version="1.0" encoding="utf-8"?>
<ds:datastoreItem xmlns:ds="http://schemas.openxmlformats.org/officeDocument/2006/customXml" ds:itemID="{F34CEDBD-CDB8-4ABA-9664-39E12639E232}">
  <ds:schemaRefs>
    <ds:schemaRef ds:uri="http://schemas.microsoft.com/sharepoint/v3/contenttype/forms"/>
  </ds:schemaRefs>
</ds:datastoreItem>
</file>

<file path=customXml/itemProps5.xml><?xml version="1.0" encoding="utf-8"?>
<ds:datastoreItem xmlns:ds="http://schemas.openxmlformats.org/officeDocument/2006/customXml" ds:itemID="{E74DC56C-4C2E-41F2-A956-1EF75DAC6B10}">
  <ds:schemaRefs>
    <ds:schemaRef ds:uri="Microsoft.SharePoint.Taxonomy.ContentTypeSync"/>
  </ds:schemaRefs>
</ds:datastoreItem>
</file>

<file path=customXml/itemProps6.xml><?xml version="1.0" encoding="utf-8"?>
<ds:datastoreItem xmlns:ds="http://schemas.openxmlformats.org/officeDocument/2006/customXml" ds:itemID="{C40A9DD5-D82E-451B-9739-D0E4949F6953}"/>
</file>

<file path=customXml/itemProps7.xml><?xml version="1.0" encoding="utf-8"?>
<ds:datastoreItem xmlns:ds="http://schemas.openxmlformats.org/officeDocument/2006/customXml" ds:itemID="{55AF091B-3C7A-41E3-B477-F2FDAA23CFDA}"/>
</file>

<file path=customXml/itemProps8.xml><?xml version="1.0" encoding="utf-8"?>
<ds:datastoreItem xmlns:ds="http://schemas.openxmlformats.org/officeDocument/2006/customXml" ds:itemID="{0FAE63C0-12D6-4EB2-B4B5-024D5EBB9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10350</Words>
  <Characters>58995</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Government Costs Associated with the Implementation of New Food Regulation</vt:lpstr>
    </vt:vector>
  </TitlesOfParts>
  <Company>Food Standards Australia New Zealand</Company>
  <LinksUpToDate>false</LinksUpToDate>
  <CharactersWithSpaces>69207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Costs Associated with the Implementation of New Food Regulation</dc:title>
  <dc:subject>Findings from a Food Standards Australia New Zealand economic evidence project report prepared for the Australian Department of Health</dc:subject>
  <dc:creator>Food Standards Australia New Zealand</dc:creator>
  <cp:lastModifiedBy>starkp</cp:lastModifiedBy>
  <cp:revision>2</cp:revision>
  <cp:lastPrinted>2017-01-06T01:01:00Z</cp:lastPrinted>
  <dcterms:created xsi:type="dcterms:W3CDTF">2017-05-12T03:03:00Z</dcterms:created>
  <dcterms:modified xsi:type="dcterms:W3CDTF">2017-05-12T03:03:00Z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0x010100AA24B29DC7595044A69C84D0E99A2E2D</vt:lpwstr>
  </property>
  <property fmtid="{D5CDD505-2E9C-101B-9397-08002B2CF9AE}" pid="3" name="BCS_">
    <vt:lpwstr>305;#Drafting|dfa82a4d-d2a6-480e-b2b5-15319f16754d</vt:lpwstr>
  </property>
  <property fmtid="{D5CDD505-2E9C-101B-9397-08002B2CF9AE}" pid="4" name="_dlc_DocIdItemGuid">
    <vt:lpwstr>b6264642-4f0f-4190-a75c-2b11bfdb72b4</vt:lpwstr>
  </property>
  <property fmtid="{D5CDD505-2E9C-101B-9397-08002B2CF9AE}" pid="5" name="DisposalClass">
    <vt:lpwstr/>
  </property>
</Properties>
</file>